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AF95" w14:textId="6FB99141" w:rsidR="003A5583" w:rsidRDefault="003A5583" w:rsidP="003A5583">
      <w:pPr>
        <w:pStyle w:val="Normaallaadveeb"/>
        <w:spacing w:before="0" w:beforeAutospacing="0" w:after="0" w:afterAutospacing="0"/>
        <w:jc w:val="right"/>
        <w:rPr>
          <w:color w:val="000000"/>
          <w:sz w:val="27"/>
          <w:szCs w:val="27"/>
        </w:rPr>
      </w:pPr>
      <w:r>
        <w:rPr>
          <w:color w:val="000000"/>
          <w:sz w:val="27"/>
          <w:szCs w:val="27"/>
        </w:rPr>
        <w:t>Lisa 4</w:t>
      </w:r>
    </w:p>
    <w:p w14:paraId="15B5AAF1" w14:textId="77777777" w:rsidR="003A5583" w:rsidRDefault="003A5583" w:rsidP="003A5583">
      <w:pPr>
        <w:pStyle w:val="Normaallaadveeb"/>
        <w:spacing w:before="0" w:beforeAutospacing="0" w:after="0" w:afterAutospacing="0"/>
        <w:jc w:val="right"/>
        <w:rPr>
          <w:color w:val="000000"/>
          <w:sz w:val="27"/>
          <w:szCs w:val="27"/>
        </w:rPr>
      </w:pPr>
      <w:r>
        <w:rPr>
          <w:color w:val="000000"/>
          <w:sz w:val="27"/>
          <w:szCs w:val="27"/>
        </w:rPr>
        <w:t>Haridus- ja teadusministri käskkirja „Toetuse andmise tingimuste kehtestamine tegevuse</w:t>
      </w:r>
    </w:p>
    <w:p w14:paraId="756BA1C9" w14:textId="77777777" w:rsidR="003A5583" w:rsidRDefault="003A5583" w:rsidP="003A5583">
      <w:pPr>
        <w:pStyle w:val="Normaallaadveeb"/>
        <w:spacing w:before="0" w:beforeAutospacing="0" w:after="0" w:afterAutospacing="0"/>
        <w:jc w:val="right"/>
        <w:rPr>
          <w:color w:val="000000"/>
          <w:sz w:val="27"/>
          <w:szCs w:val="27"/>
        </w:rPr>
      </w:pPr>
      <w:r>
        <w:rPr>
          <w:color w:val="000000"/>
          <w:sz w:val="27"/>
          <w:szCs w:val="27"/>
        </w:rPr>
        <w:t>„Temaatiliste teadus- ja arendustegevuse programmide</w:t>
      </w:r>
    </w:p>
    <w:p w14:paraId="3D2A8BBD" w14:textId="77777777" w:rsidR="003A5583" w:rsidRDefault="003A5583" w:rsidP="003A5583">
      <w:pPr>
        <w:pStyle w:val="Normaallaadveeb"/>
        <w:spacing w:before="0" w:beforeAutospacing="0" w:after="0" w:afterAutospacing="0"/>
        <w:jc w:val="right"/>
        <w:rPr>
          <w:color w:val="000000"/>
          <w:sz w:val="27"/>
          <w:szCs w:val="27"/>
        </w:rPr>
      </w:pPr>
      <w:r>
        <w:rPr>
          <w:color w:val="000000"/>
          <w:sz w:val="27"/>
          <w:szCs w:val="27"/>
        </w:rPr>
        <w:t>rakendamise akadeemilise, era- ja avaliku sektori</w:t>
      </w:r>
    </w:p>
    <w:p w14:paraId="243FA4E8" w14:textId="77777777" w:rsidR="003A5583" w:rsidRDefault="003A5583" w:rsidP="003A5583">
      <w:pPr>
        <w:pStyle w:val="Normaallaadveeb"/>
        <w:spacing w:before="0" w:beforeAutospacing="0" w:after="0" w:afterAutospacing="0"/>
        <w:jc w:val="right"/>
        <w:rPr>
          <w:color w:val="000000"/>
          <w:sz w:val="27"/>
          <w:szCs w:val="27"/>
        </w:rPr>
      </w:pPr>
      <w:r>
        <w:rPr>
          <w:color w:val="000000"/>
          <w:sz w:val="27"/>
          <w:szCs w:val="27"/>
        </w:rPr>
        <w:t>koosloome ja koostöö edendamiseks nutika</w:t>
      </w:r>
    </w:p>
    <w:p w14:paraId="38A62A8E" w14:textId="77777777" w:rsidR="003A5583" w:rsidRDefault="003A5583" w:rsidP="003A5583">
      <w:pPr>
        <w:pStyle w:val="Normaallaadveeb"/>
        <w:spacing w:before="0" w:beforeAutospacing="0" w:after="0" w:afterAutospacing="0"/>
        <w:jc w:val="right"/>
        <w:rPr>
          <w:color w:val="000000"/>
          <w:sz w:val="27"/>
          <w:szCs w:val="27"/>
        </w:rPr>
      </w:pPr>
      <w:r>
        <w:rPr>
          <w:color w:val="000000"/>
          <w:sz w:val="27"/>
          <w:szCs w:val="27"/>
        </w:rPr>
        <w:t>spetsialiseerumise valdkondades“ elluviimiseks“</w:t>
      </w:r>
    </w:p>
    <w:p w14:paraId="59BB4DFF" w14:textId="77777777" w:rsidR="003A5583" w:rsidRDefault="003A5583" w:rsidP="003A5583">
      <w:pPr>
        <w:pStyle w:val="Normaallaadveeb"/>
        <w:spacing w:before="0" w:beforeAutospacing="0" w:after="0" w:afterAutospacing="0"/>
        <w:jc w:val="right"/>
        <w:rPr>
          <w:color w:val="000000"/>
          <w:sz w:val="27"/>
          <w:szCs w:val="27"/>
        </w:rPr>
      </w:pPr>
      <w:r>
        <w:rPr>
          <w:color w:val="000000"/>
          <w:sz w:val="27"/>
          <w:szCs w:val="27"/>
        </w:rPr>
        <w:t>eelnõu seletuskirja juurde</w:t>
      </w:r>
    </w:p>
    <w:p w14:paraId="2346D15C" w14:textId="77777777" w:rsidR="003A5583" w:rsidRDefault="003A5583">
      <w:pPr>
        <w:rPr>
          <w:rFonts w:ascii="Times New Roman" w:hAnsi="Times New Roman" w:cs="Times New Roman"/>
          <w:b/>
          <w:bCs/>
          <w:sz w:val="24"/>
          <w:szCs w:val="24"/>
        </w:rPr>
      </w:pPr>
    </w:p>
    <w:p w14:paraId="01AF141C" w14:textId="77777777" w:rsidR="003A5583" w:rsidRDefault="003A5583" w:rsidP="003A5583">
      <w:pPr>
        <w:jc w:val="center"/>
        <w:rPr>
          <w:rFonts w:ascii="Times New Roman" w:hAnsi="Times New Roman" w:cs="Times New Roman"/>
          <w:sz w:val="24"/>
          <w:szCs w:val="24"/>
        </w:rPr>
      </w:pPr>
    </w:p>
    <w:p w14:paraId="70EF2915" w14:textId="77777777" w:rsidR="003A5583" w:rsidRDefault="003A5583" w:rsidP="003A5583">
      <w:pPr>
        <w:jc w:val="center"/>
        <w:rPr>
          <w:rFonts w:ascii="Times New Roman" w:hAnsi="Times New Roman" w:cs="Times New Roman"/>
          <w:sz w:val="24"/>
          <w:szCs w:val="24"/>
        </w:rPr>
      </w:pPr>
    </w:p>
    <w:p w14:paraId="4896F174" w14:textId="780DFBE4" w:rsidR="008B75DC" w:rsidRPr="003A5583" w:rsidRDefault="00481383" w:rsidP="003A5583">
      <w:pPr>
        <w:jc w:val="center"/>
        <w:rPr>
          <w:rFonts w:ascii="Times New Roman" w:hAnsi="Times New Roman" w:cs="Times New Roman"/>
          <w:sz w:val="24"/>
          <w:szCs w:val="24"/>
        </w:rPr>
      </w:pPr>
      <w:r>
        <w:rPr>
          <w:rFonts w:ascii="Times New Roman" w:hAnsi="Times New Roman" w:cs="Times New Roman"/>
          <w:sz w:val="24"/>
          <w:szCs w:val="24"/>
        </w:rPr>
        <w:t xml:space="preserve">TÄIENDAV </w:t>
      </w:r>
      <w:r w:rsidR="003A5583" w:rsidRPr="003A5583">
        <w:rPr>
          <w:rFonts w:ascii="Times New Roman" w:hAnsi="Times New Roman" w:cs="Times New Roman"/>
          <w:sz w:val="24"/>
          <w:szCs w:val="24"/>
        </w:rPr>
        <w:t>KOOSKÕLASTUSTABEL</w:t>
      </w:r>
    </w:p>
    <w:p w14:paraId="61B9D4D1" w14:textId="77777777" w:rsidR="008B75DC" w:rsidRPr="003B4EEE" w:rsidRDefault="008B75DC">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695"/>
        <w:gridCol w:w="883"/>
        <w:gridCol w:w="6922"/>
        <w:gridCol w:w="5494"/>
      </w:tblGrid>
      <w:tr w:rsidR="000B1E25" w:rsidRPr="003B4EEE" w14:paraId="4AAAA498" w14:textId="77777777" w:rsidTr="00420527">
        <w:tc>
          <w:tcPr>
            <w:tcW w:w="695" w:type="dxa"/>
          </w:tcPr>
          <w:p w14:paraId="3126426C" w14:textId="77777777" w:rsidR="000B1E25" w:rsidRPr="003B4EEE" w:rsidRDefault="000B1E25"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NR</w:t>
            </w:r>
          </w:p>
        </w:tc>
        <w:tc>
          <w:tcPr>
            <w:tcW w:w="883" w:type="dxa"/>
          </w:tcPr>
          <w:p w14:paraId="46461224" w14:textId="5EAD188D" w:rsidR="007C0F58" w:rsidRDefault="007C0F58" w:rsidP="007C0F58">
            <w:pPr>
              <w:spacing w:before="120" w:after="120"/>
              <w:rPr>
                <w:rFonts w:ascii="Times New Roman" w:hAnsi="Times New Roman" w:cs="Times New Roman"/>
                <w:sz w:val="24"/>
                <w:szCs w:val="24"/>
              </w:rPr>
            </w:pPr>
            <w:r>
              <w:rPr>
                <w:rFonts w:ascii="Times New Roman" w:hAnsi="Times New Roman" w:cs="Times New Roman"/>
                <w:sz w:val="24"/>
                <w:szCs w:val="24"/>
              </w:rPr>
              <w:t>Asutus</w:t>
            </w:r>
          </w:p>
        </w:tc>
        <w:tc>
          <w:tcPr>
            <w:tcW w:w="6922" w:type="dxa"/>
          </w:tcPr>
          <w:p w14:paraId="23CF03AD" w14:textId="01BD3D3F" w:rsidR="000B1E25" w:rsidRPr="003B4EEE" w:rsidRDefault="007C0F58" w:rsidP="007C0F58">
            <w:pPr>
              <w:spacing w:before="120" w:after="120"/>
              <w:rPr>
                <w:rFonts w:ascii="Times New Roman" w:hAnsi="Times New Roman" w:cs="Times New Roman"/>
                <w:sz w:val="24"/>
                <w:szCs w:val="24"/>
              </w:rPr>
            </w:pPr>
            <w:r>
              <w:rPr>
                <w:rFonts w:ascii="Times New Roman" w:hAnsi="Times New Roman" w:cs="Times New Roman"/>
                <w:sz w:val="24"/>
                <w:szCs w:val="24"/>
              </w:rPr>
              <w:t>Kommentaar/ ettepanku sisu</w:t>
            </w:r>
          </w:p>
        </w:tc>
        <w:tc>
          <w:tcPr>
            <w:tcW w:w="5494" w:type="dxa"/>
          </w:tcPr>
          <w:p w14:paraId="57CCC08A" w14:textId="37B765B9" w:rsidR="000B1E25" w:rsidRPr="003B4EEE" w:rsidRDefault="007C0F58" w:rsidP="007C0F58">
            <w:pPr>
              <w:spacing w:before="120" w:after="120"/>
              <w:rPr>
                <w:rFonts w:ascii="Times New Roman" w:hAnsi="Times New Roman" w:cs="Times New Roman"/>
                <w:sz w:val="24"/>
                <w:szCs w:val="24"/>
              </w:rPr>
            </w:pPr>
            <w:r>
              <w:rPr>
                <w:rFonts w:ascii="Times New Roman" w:hAnsi="Times New Roman" w:cs="Times New Roman"/>
                <w:sz w:val="24"/>
                <w:szCs w:val="24"/>
              </w:rPr>
              <w:t>Haridus- ja Teadusministeeriumi seisukoht</w:t>
            </w:r>
          </w:p>
        </w:tc>
      </w:tr>
      <w:tr w:rsidR="000B1E25" w:rsidRPr="003B4EEE" w14:paraId="5DF580C1" w14:textId="77777777" w:rsidTr="00420527">
        <w:tc>
          <w:tcPr>
            <w:tcW w:w="695" w:type="dxa"/>
          </w:tcPr>
          <w:p w14:paraId="0F79312A" w14:textId="3309FB2D" w:rsidR="000B1E25" w:rsidRPr="003B4EEE" w:rsidRDefault="000B1E25"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1</w:t>
            </w:r>
          </w:p>
        </w:tc>
        <w:tc>
          <w:tcPr>
            <w:tcW w:w="883" w:type="dxa"/>
          </w:tcPr>
          <w:p w14:paraId="62C8DA25" w14:textId="6BAE15E1" w:rsidR="007C0F58" w:rsidRDefault="007C0F58" w:rsidP="007C0F58">
            <w:pPr>
              <w:spacing w:before="120" w:after="120"/>
              <w:rPr>
                <w:rFonts w:ascii="Times New Roman" w:hAnsi="Times New Roman" w:cs="Times New Roman"/>
                <w:sz w:val="24"/>
                <w:szCs w:val="24"/>
              </w:rPr>
            </w:pPr>
            <w:r>
              <w:rPr>
                <w:rFonts w:ascii="Times New Roman" w:hAnsi="Times New Roman" w:cs="Times New Roman"/>
                <w:sz w:val="24"/>
                <w:szCs w:val="24"/>
              </w:rPr>
              <w:t>RTK</w:t>
            </w:r>
          </w:p>
        </w:tc>
        <w:tc>
          <w:tcPr>
            <w:tcW w:w="6922" w:type="dxa"/>
          </w:tcPr>
          <w:p w14:paraId="730EC655" w14:textId="1A1DD15C" w:rsidR="000B1E25" w:rsidRPr="003B4EEE" w:rsidRDefault="000B1E25"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TAT p 13.6 kohaselt võib olla tegemist riigiabiga ÜGEM art 25 alusel. Palun lisada seletuskirja selgitus, kuidas on sellisel juhul ühikuhinna alusel kulude hüvitamine kooskõlas ÜGEM art 25 tooduga. Kas ühikuhinnas sisalduvad kulukomponendid on abikõlblikud ka ÜGEM art 25 alusel?</w:t>
            </w:r>
          </w:p>
        </w:tc>
        <w:tc>
          <w:tcPr>
            <w:tcW w:w="5494" w:type="dxa"/>
          </w:tcPr>
          <w:p w14:paraId="22D04587" w14:textId="2DEF6CED" w:rsidR="007C0F58" w:rsidRPr="007C0F58" w:rsidRDefault="007C0F58" w:rsidP="007C0F58">
            <w:pPr>
              <w:spacing w:before="120" w:after="120"/>
              <w:rPr>
                <w:rFonts w:ascii="Times New Roman" w:hAnsi="Times New Roman" w:cs="Times New Roman"/>
                <w:b/>
                <w:bCs/>
                <w:sz w:val="24"/>
                <w:szCs w:val="24"/>
              </w:rPr>
            </w:pPr>
            <w:r w:rsidRPr="007C0F58">
              <w:rPr>
                <w:rFonts w:ascii="Times New Roman" w:hAnsi="Times New Roman" w:cs="Times New Roman"/>
                <w:b/>
                <w:bCs/>
                <w:sz w:val="24"/>
                <w:szCs w:val="24"/>
              </w:rPr>
              <w:t>Arvestatud.</w:t>
            </w:r>
          </w:p>
          <w:p w14:paraId="18DBB25A" w14:textId="1B90F33E" w:rsidR="000B1E25" w:rsidRPr="003B4EEE" w:rsidRDefault="007C0F58" w:rsidP="007C0F58">
            <w:pPr>
              <w:spacing w:before="120" w:after="120"/>
              <w:rPr>
                <w:rFonts w:ascii="Times New Roman" w:hAnsi="Times New Roman" w:cs="Times New Roman"/>
                <w:sz w:val="24"/>
                <w:szCs w:val="24"/>
              </w:rPr>
            </w:pPr>
            <w:r w:rsidRPr="003B3F2F">
              <w:rPr>
                <w:rFonts w:ascii="Times New Roman" w:hAnsi="Times New Roman" w:cs="Times New Roman"/>
                <w:sz w:val="24"/>
                <w:szCs w:val="24"/>
              </w:rPr>
              <w:t xml:space="preserve">Seletuskirja on täiendatud. </w:t>
            </w:r>
          </w:p>
        </w:tc>
      </w:tr>
      <w:tr w:rsidR="000B1E25" w:rsidRPr="003B4EEE" w14:paraId="2BE4D00C" w14:textId="77777777" w:rsidTr="00420527">
        <w:tc>
          <w:tcPr>
            <w:tcW w:w="695" w:type="dxa"/>
          </w:tcPr>
          <w:p w14:paraId="2E595EAE" w14:textId="77777777" w:rsidR="000B1E25" w:rsidRPr="003B4EEE" w:rsidRDefault="000B1E25"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2</w:t>
            </w:r>
          </w:p>
        </w:tc>
        <w:tc>
          <w:tcPr>
            <w:tcW w:w="883" w:type="dxa"/>
          </w:tcPr>
          <w:p w14:paraId="46B90782" w14:textId="5AEFC776" w:rsidR="007C0F58" w:rsidRDefault="007C0F58" w:rsidP="007C0F58">
            <w:pPr>
              <w:pStyle w:val="pf0"/>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RTK</w:t>
            </w:r>
          </w:p>
        </w:tc>
        <w:tc>
          <w:tcPr>
            <w:tcW w:w="6922" w:type="dxa"/>
          </w:tcPr>
          <w:p w14:paraId="550D9C47" w14:textId="02693B8A" w:rsidR="000B1E25" w:rsidRPr="003B4EEE" w:rsidRDefault="000B1E25" w:rsidP="007C0F58">
            <w:pPr>
              <w:pStyle w:val="pf0"/>
              <w:spacing w:before="120" w:beforeAutospacing="0" w:after="120" w:afterAutospacing="0"/>
            </w:pPr>
            <w:r w:rsidRPr="003B4EEE">
              <w:rPr>
                <w:rStyle w:val="cf01"/>
                <w:rFonts w:ascii="Times New Roman" w:hAnsi="Times New Roman" w:cs="Times New Roman"/>
                <w:sz w:val="24"/>
                <w:szCs w:val="24"/>
              </w:rPr>
              <w:t>Kliimapanuse selgitamiseks palume lisada lisa 3 veergu täiendus, märkides ära millised projektid vastavad sekkumiskoodile 029:</w:t>
            </w:r>
            <w:r w:rsidR="007C0F58">
              <w:rPr>
                <w:rStyle w:val="cf01"/>
                <w:rFonts w:ascii="Times New Roman" w:hAnsi="Times New Roman" w:cs="Times New Roman"/>
                <w:sz w:val="24"/>
                <w:szCs w:val="24"/>
              </w:rPr>
              <w:t xml:space="preserve"> „</w:t>
            </w:r>
            <w:r w:rsidRPr="003B4EEE">
              <w:rPr>
                <w:rStyle w:val="cf01"/>
                <w:rFonts w:ascii="Times New Roman" w:hAnsi="Times New Roman" w:cs="Times New Roman"/>
                <w:sz w:val="24"/>
                <w:szCs w:val="24"/>
              </w:rPr>
              <w:t xml:space="preserve">Teadus- ja innovatsiooniprotsessid, </w:t>
            </w:r>
            <w:proofErr w:type="spellStart"/>
            <w:r w:rsidRPr="003B4EEE">
              <w:rPr>
                <w:rStyle w:val="cf01"/>
                <w:rFonts w:ascii="Times New Roman" w:hAnsi="Times New Roman" w:cs="Times New Roman"/>
                <w:sz w:val="24"/>
                <w:szCs w:val="24"/>
              </w:rPr>
              <w:t>tehnosiire</w:t>
            </w:r>
            <w:proofErr w:type="spellEnd"/>
            <w:r w:rsidRPr="003B4EEE">
              <w:rPr>
                <w:rStyle w:val="cf01"/>
                <w:rFonts w:ascii="Times New Roman" w:hAnsi="Times New Roman" w:cs="Times New Roman"/>
                <w:sz w:val="24"/>
                <w:szCs w:val="24"/>
              </w:rPr>
              <w:t xml:space="preserve"> ning ettevõtjate, teaduskeskuste ja ülikoolide vaheline koostöö, milles keskendutakse vähese CO2-heitega majanduse edendamisele ning kliimamuutustele vastupanuvõimele ja kliimamuutustega kohanemisele</w:t>
            </w:r>
            <w:r w:rsidR="007C0F58">
              <w:rPr>
                <w:rStyle w:val="cf01"/>
                <w:rFonts w:ascii="Times New Roman" w:hAnsi="Times New Roman" w:cs="Times New Roman"/>
                <w:sz w:val="24"/>
                <w:szCs w:val="24"/>
              </w:rPr>
              <w:t>.“</w:t>
            </w:r>
          </w:p>
        </w:tc>
        <w:tc>
          <w:tcPr>
            <w:tcW w:w="5494" w:type="dxa"/>
          </w:tcPr>
          <w:p w14:paraId="30D70F5C" w14:textId="77777777" w:rsidR="007C0F58" w:rsidRDefault="004A18E4" w:rsidP="007C0F58">
            <w:pPr>
              <w:spacing w:before="120" w:after="120"/>
              <w:rPr>
                <w:rFonts w:ascii="Times New Roman" w:hAnsi="Times New Roman" w:cs="Times New Roman"/>
                <w:sz w:val="24"/>
                <w:szCs w:val="24"/>
              </w:rPr>
            </w:pPr>
            <w:r w:rsidRPr="004A18E4">
              <w:rPr>
                <w:rFonts w:ascii="Times New Roman" w:hAnsi="Times New Roman" w:cs="Times New Roman"/>
                <w:b/>
                <w:bCs/>
                <w:sz w:val="24"/>
                <w:szCs w:val="24"/>
              </w:rPr>
              <w:t>Arvestatud</w:t>
            </w:r>
            <w:r>
              <w:rPr>
                <w:rFonts w:ascii="Times New Roman" w:hAnsi="Times New Roman" w:cs="Times New Roman"/>
                <w:sz w:val="24"/>
                <w:szCs w:val="24"/>
              </w:rPr>
              <w:t>.</w:t>
            </w:r>
          </w:p>
          <w:p w14:paraId="063136AC" w14:textId="56778E66" w:rsidR="000B1E25" w:rsidRPr="003B4EEE" w:rsidRDefault="004A18E4" w:rsidP="007C0F58">
            <w:pPr>
              <w:spacing w:before="120" w:after="120"/>
              <w:rPr>
                <w:rFonts w:ascii="Times New Roman" w:hAnsi="Times New Roman" w:cs="Times New Roman"/>
                <w:sz w:val="24"/>
                <w:szCs w:val="24"/>
              </w:rPr>
            </w:pPr>
            <w:r>
              <w:rPr>
                <w:rFonts w:ascii="Times New Roman" w:hAnsi="Times New Roman" w:cs="Times New Roman"/>
                <w:sz w:val="24"/>
                <w:szCs w:val="24"/>
              </w:rPr>
              <w:t>Lisa 3</w:t>
            </w:r>
            <w:r w:rsidR="002653F4">
              <w:rPr>
                <w:rFonts w:ascii="Times New Roman" w:hAnsi="Times New Roman" w:cs="Times New Roman"/>
                <w:sz w:val="24"/>
                <w:szCs w:val="24"/>
              </w:rPr>
              <w:t xml:space="preserve"> ning seletuskirja</w:t>
            </w:r>
            <w:r>
              <w:rPr>
                <w:rFonts w:ascii="Times New Roman" w:hAnsi="Times New Roman" w:cs="Times New Roman"/>
                <w:sz w:val="24"/>
                <w:szCs w:val="24"/>
              </w:rPr>
              <w:t xml:space="preserve"> täiendatud. Fookusvaldkonnad, mis vastavad sekkumiskoodile 029 on </w:t>
            </w:r>
            <w:r w:rsidR="002653F4">
              <w:rPr>
                <w:rFonts w:ascii="Times New Roman" w:hAnsi="Times New Roman" w:cs="Times New Roman"/>
                <w:sz w:val="24"/>
                <w:szCs w:val="24"/>
              </w:rPr>
              <w:t xml:space="preserve">lisas 3 </w:t>
            </w:r>
            <w:r>
              <w:rPr>
                <w:rFonts w:ascii="Times New Roman" w:hAnsi="Times New Roman" w:cs="Times New Roman"/>
                <w:sz w:val="24"/>
                <w:szCs w:val="24"/>
              </w:rPr>
              <w:t>märgitud</w:t>
            </w:r>
            <w:r w:rsidR="002653F4">
              <w:rPr>
                <w:rFonts w:ascii="Times New Roman" w:hAnsi="Times New Roman" w:cs="Times New Roman"/>
                <w:sz w:val="24"/>
                <w:szCs w:val="24"/>
              </w:rPr>
              <w:t xml:space="preserve"> tärniga</w:t>
            </w:r>
            <w:r>
              <w:rPr>
                <w:rFonts w:ascii="Times New Roman" w:hAnsi="Times New Roman" w:cs="Times New Roman"/>
                <w:sz w:val="24"/>
                <w:szCs w:val="24"/>
              </w:rPr>
              <w:t>.</w:t>
            </w:r>
          </w:p>
        </w:tc>
      </w:tr>
      <w:tr w:rsidR="000B1E25" w:rsidRPr="003B4EEE" w14:paraId="59B2D37F" w14:textId="77777777" w:rsidTr="00420527">
        <w:tc>
          <w:tcPr>
            <w:tcW w:w="695" w:type="dxa"/>
          </w:tcPr>
          <w:p w14:paraId="040E1F0D" w14:textId="77777777" w:rsidR="000B1E25" w:rsidRPr="003B4EEE" w:rsidRDefault="000B1E25"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3</w:t>
            </w:r>
          </w:p>
        </w:tc>
        <w:tc>
          <w:tcPr>
            <w:tcW w:w="883" w:type="dxa"/>
          </w:tcPr>
          <w:p w14:paraId="2738CC78" w14:textId="5052D102" w:rsidR="007C0F58" w:rsidRDefault="007C0F58" w:rsidP="007C0F58">
            <w:pPr>
              <w:pStyle w:val="pf0"/>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RTK</w:t>
            </w:r>
          </w:p>
        </w:tc>
        <w:tc>
          <w:tcPr>
            <w:tcW w:w="6922" w:type="dxa"/>
          </w:tcPr>
          <w:p w14:paraId="721F25EF" w14:textId="77777777" w:rsidR="007C0F58" w:rsidRDefault="007C0F58" w:rsidP="007C0F58">
            <w:pPr>
              <w:pStyle w:val="pf0"/>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 xml:space="preserve">Märgin ära, et käskkirja sisestamine e-toetuse keskkonda tundub mõistlik 3 erineva projektina: </w:t>
            </w:r>
          </w:p>
          <w:p w14:paraId="1126F019" w14:textId="77777777" w:rsidR="007C0F58" w:rsidRDefault="007C0F58" w:rsidP="007C0F58">
            <w:pPr>
              <w:pStyle w:val="pf0"/>
              <w:spacing w:before="120" w:beforeAutospacing="0" w:after="120" w:afterAutospacing="0"/>
              <w:ind w:left="708"/>
              <w:rPr>
                <w:rStyle w:val="cf01"/>
                <w:rFonts w:ascii="Times New Roman" w:hAnsi="Times New Roman" w:cs="Times New Roman"/>
                <w:sz w:val="24"/>
                <w:szCs w:val="24"/>
              </w:rPr>
            </w:pPr>
            <w:r w:rsidRPr="003B4EEE">
              <w:rPr>
                <w:rStyle w:val="cf01"/>
                <w:rFonts w:ascii="Times New Roman" w:hAnsi="Times New Roman" w:cs="Times New Roman"/>
                <w:sz w:val="24"/>
                <w:szCs w:val="24"/>
              </w:rPr>
              <w:lastRenderedPageBreak/>
              <w:t xml:space="preserve">1. tegevus 1 uuringud, millel on kliimapanus; </w:t>
            </w:r>
            <w:r w:rsidRPr="003B4EEE">
              <w:br/>
            </w:r>
            <w:r w:rsidRPr="003B4EEE">
              <w:rPr>
                <w:rStyle w:val="cf01"/>
                <w:rFonts w:ascii="Times New Roman" w:hAnsi="Times New Roman" w:cs="Times New Roman"/>
                <w:sz w:val="24"/>
                <w:szCs w:val="24"/>
              </w:rPr>
              <w:t xml:space="preserve">2. tegevus 1 uuringud, millel ei ole kliimapanust; </w:t>
            </w:r>
            <w:r w:rsidRPr="003B4EEE">
              <w:rPr>
                <w:rStyle w:val="cf01"/>
                <w:rFonts w:ascii="Times New Roman" w:hAnsi="Times New Roman" w:cs="Times New Roman"/>
                <w:sz w:val="24"/>
                <w:szCs w:val="24"/>
              </w:rPr>
              <w:br/>
              <w:t xml:space="preserve">3. Tegevus 2. </w:t>
            </w:r>
          </w:p>
          <w:p w14:paraId="19B853F2" w14:textId="4240D8D8" w:rsidR="000B1E25" w:rsidRPr="003B4EEE" w:rsidRDefault="007C0F58" w:rsidP="007C0F58">
            <w:pPr>
              <w:pStyle w:val="pf0"/>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 xml:space="preserve">See tähendab, et üle peaks vaatama ka näitajad (nii meetmete nimekirja kui TAT spetsiifilised) ja eelarve jagunemise (eriti tegevuse 1 puhul). </w:t>
            </w:r>
          </w:p>
        </w:tc>
        <w:tc>
          <w:tcPr>
            <w:tcW w:w="5494" w:type="dxa"/>
          </w:tcPr>
          <w:p w14:paraId="7C724124" w14:textId="5FB0B0F2" w:rsidR="007C0F58" w:rsidRDefault="007C0F58" w:rsidP="007C0F58">
            <w:pPr>
              <w:spacing w:before="120" w:after="120"/>
              <w:rPr>
                <w:rFonts w:ascii="Times New Roman" w:hAnsi="Times New Roman" w:cs="Times New Roman"/>
                <w:sz w:val="24"/>
                <w:szCs w:val="24"/>
              </w:rPr>
            </w:pPr>
            <w:r w:rsidRPr="007C0F58">
              <w:rPr>
                <w:rFonts w:ascii="Times New Roman" w:hAnsi="Times New Roman" w:cs="Times New Roman"/>
                <w:b/>
                <w:bCs/>
                <w:sz w:val="24"/>
                <w:szCs w:val="24"/>
              </w:rPr>
              <w:lastRenderedPageBreak/>
              <w:t xml:space="preserve">Ei </w:t>
            </w:r>
            <w:r>
              <w:rPr>
                <w:rFonts w:ascii="Times New Roman" w:hAnsi="Times New Roman" w:cs="Times New Roman"/>
                <w:b/>
                <w:bCs/>
                <w:sz w:val="24"/>
                <w:szCs w:val="24"/>
              </w:rPr>
              <w:t>arvesta</w:t>
            </w:r>
            <w:r w:rsidRPr="007C0F58">
              <w:rPr>
                <w:rFonts w:ascii="Times New Roman" w:hAnsi="Times New Roman" w:cs="Times New Roman"/>
                <w:b/>
                <w:bCs/>
                <w:sz w:val="24"/>
                <w:szCs w:val="24"/>
              </w:rPr>
              <w:t>.</w:t>
            </w:r>
            <w:r>
              <w:rPr>
                <w:rFonts w:ascii="Times New Roman" w:hAnsi="Times New Roman" w:cs="Times New Roman"/>
                <w:sz w:val="24"/>
                <w:szCs w:val="24"/>
              </w:rPr>
              <w:t xml:space="preserve"> </w:t>
            </w:r>
          </w:p>
          <w:p w14:paraId="23914EAC" w14:textId="736ECB18" w:rsidR="007C0F58" w:rsidRDefault="007C0F58" w:rsidP="007C0F58">
            <w:pPr>
              <w:spacing w:before="120" w:after="120"/>
              <w:rPr>
                <w:rFonts w:ascii="Times New Roman" w:hAnsi="Times New Roman" w:cs="Times New Roman"/>
                <w:sz w:val="24"/>
                <w:szCs w:val="24"/>
              </w:rPr>
            </w:pPr>
            <w:r>
              <w:rPr>
                <w:rFonts w:ascii="Times New Roman" w:hAnsi="Times New Roman" w:cs="Times New Roman"/>
                <w:sz w:val="24"/>
                <w:szCs w:val="24"/>
              </w:rPr>
              <w:t>KK eelnõu ettevalmistamine ei puuduta e-toetuste keskkonda sisestamise tehnilisi lahendusi.</w:t>
            </w:r>
          </w:p>
          <w:p w14:paraId="4F791E50" w14:textId="073BFE24" w:rsidR="000B1E25" w:rsidRPr="003B4EEE" w:rsidRDefault="007C0F58" w:rsidP="007C0F58">
            <w:pPr>
              <w:spacing w:before="120" w:after="120"/>
              <w:rPr>
                <w:rFonts w:ascii="Times New Roman" w:hAnsi="Times New Roman" w:cs="Times New Roman"/>
                <w:sz w:val="24"/>
                <w:szCs w:val="24"/>
              </w:rPr>
            </w:pPr>
            <w:r>
              <w:rPr>
                <w:rFonts w:ascii="Times New Roman" w:hAnsi="Times New Roman" w:cs="Times New Roman"/>
                <w:sz w:val="24"/>
                <w:szCs w:val="24"/>
              </w:rPr>
              <w:lastRenderedPageBreak/>
              <w:t>E-toetuste keskkond peab võimaldada erinevaid toetuse vorme sisestada selliselt, nagu need tegelikult mõeldud on.</w:t>
            </w:r>
          </w:p>
        </w:tc>
      </w:tr>
      <w:tr w:rsidR="000B1E25" w:rsidRPr="003B4EEE" w14:paraId="2A30DAB0" w14:textId="77777777" w:rsidTr="00420527">
        <w:tc>
          <w:tcPr>
            <w:tcW w:w="695" w:type="dxa"/>
          </w:tcPr>
          <w:p w14:paraId="3C68A35A" w14:textId="77777777" w:rsidR="000B1E25" w:rsidRPr="003B4EEE" w:rsidRDefault="000B1E25"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lastRenderedPageBreak/>
              <w:t>4</w:t>
            </w:r>
          </w:p>
        </w:tc>
        <w:tc>
          <w:tcPr>
            <w:tcW w:w="883" w:type="dxa"/>
          </w:tcPr>
          <w:p w14:paraId="510589A5" w14:textId="33F917A3" w:rsidR="0086240D" w:rsidRDefault="0086240D" w:rsidP="007C0F58">
            <w:pPr>
              <w:pStyle w:val="pf0"/>
              <w:tabs>
                <w:tab w:val="left" w:pos="2203"/>
              </w:tabs>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RTK</w:t>
            </w:r>
          </w:p>
        </w:tc>
        <w:tc>
          <w:tcPr>
            <w:tcW w:w="6922" w:type="dxa"/>
          </w:tcPr>
          <w:p w14:paraId="154F82F9" w14:textId="311D2D26" w:rsidR="000B1E25" w:rsidRPr="003B4EEE" w:rsidRDefault="000B1E25" w:rsidP="007C0F58">
            <w:pPr>
              <w:pStyle w:val="pf0"/>
              <w:tabs>
                <w:tab w:val="left" w:pos="2203"/>
              </w:tabs>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 xml:space="preserve">Eelnõuga koos on esitatud täiendusettepanekutega </w:t>
            </w:r>
            <w:proofErr w:type="spellStart"/>
            <w:r w:rsidRPr="003B4EEE">
              <w:rPr>
                <w:rStyle w:val="cf01"/>
                <w:rFonts w:ascii="Times New Roman" w:hAnsi="Times New Roman" w:cs="Times New Roman"/>
                <w:sz w:val="24"/>
                <w:szCs w:val="24"/>
              </w:rPr>
              <w:t>ETIS-e</w:t>
            </w:r>
            <w:proofErr w:type="spellEnd"/>
            <w:r w:rsidRPr="003B4EEE">
              <w:rPr>
                <w:rStyle w:val="cf01"/>
                <w:rFonts w:ascii="Times New Roman" w:hAnsi="Times New Roman" w:cs="Times New Roman"/>
                <w:sz w:val="24"/>
                <w:szCs w:val="24"/>
              </w:rPr>
              <w:t xml:space="preserve"> taotlusvorm, kus nimetatud nõuet saab kontrollida. Lähenemine on sama, mis nt </w:t>
            </w:r>
            <w:proofErr w:type="spellStart"/>
            <w:r w:rsidRPr="003B4EEE">
              <w:rPr>
                <w:rStyle w:val="cf01"/>
                <w:rFonts w:ascii="Times New Roman" w:hAnsi="Times New Roman" w:cs="Times New Roman"/>
                <w:sz w:val="24"/>
                <w:szCs w:val="24"/>
              </w:rPr>
              <w:t>Horizoni</w:t>
            </w:r>
            <w:proofErr w:type="spellEnd"/>
            <w:r w:rsidRPr="003B4EEE">
              <w:rPr>
                <w:rStyle w:val="cf01"/>
                <w:rFonts w:ascii="Times New Roman" w:hAnsi="Times New Roman" w:cs="Times New Roman"/>
                <w:sz w:val="24"/>
                <w:szCs w:val="24"/>
              </w:rPr>
              <w:t xml:space="preserve"> taotlusvoorudes, kus taotleja kirjeldab kas ja kuidas tema projekt võib olla seotud keskkonnaga ja kas on arvestatud DNSH põhimõttega. </w:t>
            </w:r>
          </w:p>
        </w:tc>
        <w:tc>
          <w:tcPr>
            <w:tcW w:w="5494" w:type="dxa"/>
          </w:tcPr>
          <w:p w14:paraId="66E641EF" w14:textId="3F923DDF" w:rsidR="0086240D" w:rsidRDefault="0086240D" w:rsidP="007C0F58">
            <w:pPr>
              <w:spacing w:before="120" w:after="120"/>
              <w:rPr>
                <w:rFonts w:ascii="Times New Roman" w:hAnsi="Times New Roman" w:cs="Times New Roman"/>
                <w:sz w:val="24"/>
                <w:szCs w:val="24"/>
              </w:rPr>
            </w:pPr>
            <w:r w:rsidRPr="0086240D">
              <w:rPr>
                <w:rFonts w:ascii="Times New Roman" w:hAnsi="Times New Roman" w:cs="Times New Roman"/>
                <w:b/>
                <w:bCs/>
                <w:sz w:val="24"/>
                <w:szCs w:val="24"/>
              </w:rPr>
              <w:t>Teadmiseks võetud</w:t>
            </w:r>
            <w:r>
              <w:rPr>
                <w:rFonts w:ascii="Times New Roman" w:hAnsi="Times New Roman" w:cs="Times New Roman"/>
                <w:b/>
                <w:bCs/>
                <w:sz w:val="24"/>
                <w:szCs w:val="24"/>
              </w:rPr>
              <w:t>.</w:t>
            </w:r>
          </w:p>
          <w:p w14:paraId="266044AE" w14:textId="7EA2950A" w:rsidR="000B1E25" w:rsidRPr="003B4EEE" w:rsidRDefault="001B2CE3" w:rsidP="007C0F58">
            <w:pPr>
              <w:spacing w:before="120" w:after="120"/>
              <w:rPr>
                <w:rFonts w:ascii="Times New Roman" w:hAnsi="Times New Roman" w:cs="Times New Roman"/>
                <w:sz w:val="24"/>
                <w:szCs w:val="24"/>
              </w:rPr>
            </w:pPr>
            <w:proofErr w:type="spellStart"/>
            <w:r w:rsidRPr="003B4EEE">
              <w:rPr>
                <w:rFonts w:ascii="Times New Roman" w:hAnsi="Times New Roman" w:cs="Times New Roman"/>
                <w:sz w:val="24"/>
                <w:szCs w:val="24"/>
              </w:rPr>
              <w:t>ETISe</w:t>
            </w:r>
            <w:proofErr w:type="spellEnd"/>
            <w:r w:rsidRPr="003B4EEE">
              <w:rPr>
                <w:rFonts w:ascii="Times New Roman" w:hAnsi="Times New Roman" w:cs="Times New Roman"/>
                <w:sz w:val="24"/>
                <w:szCs w:val="24"/>
              </w:rPr>
              <w:t xml:space="preserve"> vormi </w:t>
            </w:r>
            <w:r w:rsidR="0086240D">
              <w:rPr>
                <w:rFonts w:ascii="Times New Roman" w:hAnsi="Times New Roman" w:cs="Times New Roman"/>
                <w:sz w:val="24"/>
                <w:szCs w:val="24"/>
              </w:rPr>
              <w:t>kohta tagasiside saadetud</w:t>
            </w:r>
            <w:r w:rsidRPr="003B4EEE">
              <w:rPr>
                <w:rFonts w:ascii="Times New Roman" w:hAnsi="Times New Roman" w:cs="Times New Roman"/>
                <w:sz w:val="24"/>
                <w:szCs w:val="24"/>
              </w:rPr>
              <w:t xml:space="preserve"> </w:t>
            </w:r>
            <w:proofErr w:type="spellStart"/>
            <w:r w:rsidRPr="003B4EEE">
              <w:rPr>
                <w:rFonts w:ascii="Times New Roman" w:hAnsi="Times New Roman" w:cs="Times New Roman"/>
                <w:sz w:val="24"/>
                <w:szCs w:val="24"/>
              </w:rPr>
              <w:t>ETAGile</w:t>
            </w:r>
            <w:proofErr w:type="spellEnd"/>
            <w:r w:rsidR="0086240D">
              <w:rPr>
                <w:rFonts w:ascii="Times New Roman" w:hAnsi="Times New Roman" w:cs="Times New Roman"/>
                <w:sz w:val="24"/>
                <w:szCs w:val="24"/>
              </w:rPr>
              <w:t>.</w:t>
            </w:r>
          </w:p>
        </w:tc>
      </w:tr>
      <w:tr w:rsidR="000B1E25" w:rsidRPr="003B4EEE" w14:paraId="5BDBD96A" w14:textId="77777777" w:rsidTr="00420527">
        <w:tc>
          <w:tcPr>
            <w:tcW w:w="695" w:type="dxa"/>
          </w:tcPr>
          <w:p w14:paraId="2F425B85" w14:textId="77777777" w:rsidR="000B1E25" w:rsidRPr="003B4EEE" w:rsidRDefault="001B2CE3"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5</w:t>
            </w:r>
          </w:p>
        </w:tc>
        <w:tc>
          <w:tcPr>
            <w:tcW w:w="883" w:type="dxa"/>
          </w:tcPr>
          <w:p w14:paraId="660DC6EF" w14:textId="137EBC9F" w:rsidR="0086240D" w:rsidRDefault="0086240D" w:rsidP="0086240D">
            <w:pPr>
              <w:pStyle w:val="pf0"/>
              <w:tabs>
                <w:tab w:val="left" w:pos="2203"/>
              </w:tabs>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w:t>
            </w:r>
            <w:r w:rsidRPr="0086240D">
              <w:rPr>
                <w:rStyle w:val="cf01"/>
                <w:rFonts w:ascii="Times New Roman" w:hAnsi="Times New Roman" w:cs="Times New Roman"/>
                <w:sz w:val="24"/>
                <w:szCs w:val="24"/>
              </w:rPr>
              <w:t>TK</w:t>
            </w:r>
          </w:p>
        </w:tc>
        <w:tc>
          <w:tcPr>
            <w:tcW w:w="6922" w:type="dxa"/>
          </w:tcPr>
          <w:p w14:paraId="1FBDBF08" w14:textId="52047DE7" w:rsidR="000B1E25" w:rsidRPr="003B4EEE" w:rsidRDefault="000B1E25" w:rsidP="007C0F58">
            <w:pPr>
              <w:pStyle w:val="pf0"/>
              <w:spacing w:before="120" w:beforeAutospacing="0" w:after="120" w:afterAutospacing="0"/>
            </w:pPr>
            <w:r w:rsidRPr="003B4EEE">
              <w:rPr>
                <w:rStyle w:val="cf01"/>
                <w:rFonts w:ascii="Times New Roman" w:hAnsi="Times New Roman" w:cs="Times New Roman"/>
                <w:sz w:val="24"/>
                <w:szCs w:val="24"/>
              </w:rPr>
              <w:t>Et rakendada Teadus- ja arendustegevuseks ning innovatsiooniks antava riigiabi raamistiku (2022/C 414/01)</w:t>
            </w:r>
            <w:r w:rsidR="0086240D">
              <w:rPr>
                <w:rStyle w:val="cf01"/>
                <w:rFonts w:ascii="Times New Roman" w:hAnsi="Times New Roman" w:cs="Times New Roman"/>
                <w:sz w:val="24"/>
                <w:szCs w:val="24"/>
              </w:rPr>
              <w:t xml:space="preserve"> </w:t>
            </w:r>
            <w:r w:rsidRPr="003B4EEE">
              <w:rPr>
                <w:rStyle w:val="cf01"/>
                <w:rFonts w:ascii="Times New Roman" w:hAnsi="Times New Roman" w:cs="Times New Roman"/>
                <w:sz w:val="24"/>
                <w:szCs w:val="24"/>
              </w:rPr>
              <w:t xml:space="preserve">p 21: kui teadusasutust või -taristut kasutatakse nii majandustegevuseks kui ka mittemajanduslikuks tuleb arvestust pidada ja kui majandustegevuse maht on rohkem kui 20 % taristu aastasest tegevusmahust, siis makstud toetust vähendatakse vastavalt ÜGEM art 25 toodud määrale. Arvestuse pidamiseks peaks olema </w:t>
            </w:r>
            <w:proofErr w:type="spellStart"/>
            <w:r w:rsidRPr="003B4EEE">
              <w:rPr>
                <w:rStyle w:val="cf01"/>
                <w:rFonts w:ascii="Times New Roman" w:hAnsi="Times New Roman" w:cs="Times New Roman"/>
                <w:sz w:val="24"/>
                <w:szCs w:val="24"/>
              </w:rPr>
              <w:t>TAT-is</w:t>
            </w:r>
            <w:proofErr w:type="spellEnd"/>
            <w:r w:rsidRPr="003B4EEE">
              <w:rPr>
                <w:rStyle w:val="cf01"/>
                <w:rFonts w:ascii="Times New Roman" w:hAnsi="Times New Roman" w:cs="Times New Roman"/>
                <w:sz w:val="24"/>
                <w:szCs w:val="24"/>
              </w:rPr>
              <w:t xml:space="preserve"> ka kohustus kirjas: </w:t>
            </w:r>
          </w:p>
          <w:p w14:paraId="4D5654D8" w14:textId="77777777" w:rsidR="000B1E25" w:rsidRPr="003B4EEE" w:rsidRDefault="000B1E25" w:rsidP="007C0F58">
            <w:pPr>
              <w:pStyle w:val="pf1"/>
              <w:spacing w:before="120" w:beforeAutospacing="0" w:after="120" w:afterAutospacing="0"/>
              <w:rPr>
                <w:rStyle w:val="cf01"/>
                <w:rFonts w:ascii="Times New Roman" w:hAnsi="Times New Roman" w:cs="Times New Roman"/>
                <w:sz w:val="24"/>
                <w:szCs w:val="24"/>
              </w:rPr>
            </w:pPr>
            <w:r w:rsidRPr="0086240D">
              <w:rPr>
                <w:rStyle w:val="cf01"/>
                <w:rFonts w:ascii="Times New Roman" w:hAnsi="Times New Roman" w:cs="Times New Roman"/>
                <w:sz w:val="24"/>
                <w:szCs w:val="24"/>
              </w:rPr>
              <w:t>Elluviija peab järgima riigiabi andmist reguleerivatest õigusaktidest tulenevaid kohustusi ja nõudeid, kui need kohalduvad toetuse saamisel, sealhulgas eristama raamatupidamises majandustegevuse ja mittemajandustegevuse, pidama nende üle arvestust ning esitama rakendusüksusele igal aastal aruande taristu kohta, mida kasutatakse majandustegevuses tuues välja majandusliku ja mittemajandusliku kasutuse ajalise proportsioon.</w:t>
            </w:r>
          </w:p>
          <w:p w14:paraId="54F4CE17" w14:textId="452E98E7" w:rsidR="000B1E25" w:rsidRPr="003B4EEE" w:rsidRDefault="000B1E25" w:rsidP="0086240D">
            <w:pPr>
              <w:pStyle w:val="Normaallaadveeb"/>
              <w:spacing w:before="120" w:beforeAutospacing="0" w:after="120" w:afterAutospacing="0"/>
              <w:rPr>
                <w:rStyle w:val="cf01"/>
                <w:rFonts w:ascii="Times New Roman" w:hAnsi="Times New Roman" w:cs="Times New Roman"/>
                <w:sz w:val="24"/>
                <w:szCs w:val="24"/>
              </w:rPr>
            </w:pPr>
            <w:r w:rsidRPr="0086240D">
              <w:rPr>
                <w:rStyle w:val="cf01"/>
                <w:rFonts w:ascii="Times New Roman" w:hAnsi="Times New Roman" w:cs="Times New Roman"/>
                <w:sz w:val="24"/>
                <w:szCs w:val="24"/>
              </w:rPr>
              <w:t>Elluviija on kohustatud maksma toetuse proportsionaalselt tagasi, kui majandustegevuse maht aastase perioodi jooksul ületab 20% taristu aastasest kasutusmahust;</w:t>
            </w:r>
          </w:p>
        </w:tc>
        <w:tc>
          <w:tcPr>
            <w:tcW w:w="5494" w:type="dxa"/>
          </w:tcPr>
          <w:p w14:paraId="234F7C86" w14:textId="7052B280" w:rsidR="0086240D" w:rsidRDefault="0086240D" w:rsidP="007C0F58">
            <w:pPr>
              <w:spacing w:before="120" w:after="120"/>
              <w:rPr>
                <w:rFonts w:ascii="Times New Roman" w:hAnsi="Times New Roman" w:cs="Times New Roman"/>
                <w:sz w:val="24"/>
                <w:szCs w:val="24"/>
              </w:rPr>
            </w:pPr>
            <w:r w:rsidRPr="0086240D">
              <w:rPr>
                <w:rFonts w:ascii="Times New Roman" w:hAnsi="Times New Roman" w:cs="Times New Roman"/>
                <w:b/>
                <w:bCs/>
                <w:sz w:val="24"/>
                <w:szCs w:val="24"/>
              </w:rPr>
              <w:t>A</w:t>
            </w:r>
            <w:r w:rsidRPr="0086240D">
              <w:rPr>
                <w:b/>
                <w:bCs/>
              </w:rPr>
              <w:t>rvestatud</w:t>
            </w:r>
            <w:r>
              <w:t>.</w:t>
            </w:r>
          </w:p>
          <w:p w14:paraId="4E932989" w14:textId="639697EE" w:rsidR="000B1E25" w:rsidRPr="003B4EEE" w:rsidRDefault="007C0F58" w:rsidP="007C0F58">
            <w:pPr>
              <w:spacing w:before="120" w:after="120"/>
              <w:rPr>
                <w:rFonts w:ascii="Times New Roman" w:hAnsi="Times New Roman" w:cs="Times New Roman"/>
                <w:sz w:val="24"/>
                <w:szCs w:val="24"/>
              </w:rPr>
            </w:pPr>
            <w:r w:rsidRPr="003B3F2F">
              <w:rPr>
                <w:rFonts w:ascii="Times New Roman" w:hAnsi="Times New Roman" w:cs="Times New Roman"/>
                <w:sz w:val="24"/>
                <w:szCs w:val="24"/>
              </w:rPr>
              <w:t>Eelnõusse on lisatud punktid 9.3 ja 9.4, kus on sätestatud elluviija ja partneri kohustused seoses riigiabi reeglistikust tulenevate kohustuste täitmisega.</w:t>
            </w:r>
          </w:p>
        </w:tc>
      </w:tr>
      <w:tr w:rsidR="000B1E25" w:rsidRPr="003B4EEE" w14:paraId="5D22BDD5" w14:textId="77777777" w:rsidTr="00420527">
        <w:tc>
          <w:tcPr>
            <w:tcW w:w="695" w:type="dxa"/>
          </w:tcPr>
          <w:p w14:paraId="1C30AA86" w14:textId="77777777" w:rsidR="000B1E25" w:rsidRPr="003B4EEE" w:rsidRDefault="001B2CE3"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lastRenderedPageBreak/>
              <w:t>6</w:t>
            </w:r>
          </w:p>
        </w:tc>
        <w:tc>
          <w:tcPr>
            <w:tcW w:w="883" w:type="dxa"/>
          </w:tcPr>
          <w:p w14:paraId="4C30E0E5" w14:textId="0E5E3FFA" w:rsidR="0086240D" w:rsidRDefault="0086240D" w:rsidP="007C0F58">
            <w:pPr>
              <w:pStyle w:val="pf0"/>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RTK</w:t>
            </w:r>
          </w:p>
        </w:tc>
        <w:tc>
          <w:tcPr>
            <w:tcW w:w="6922" w:type="dxa"/>
          </w:tcPr>
          <w:p w14:paraId="2131DE78" w14:textId="795B364D" w:rsidR="000B1E25" w:rsidRPr="003B4EEE" w:rsidRDefault="000B1E25" w:rsidP="0086240D">
            <w:pPr>
              <w:pStyle w:val="pf0"/>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Tehniliste nõuete vastavuse kontrollimisel tuleks vaadata ka lisa 3 toodud tingimuste täitmist. Kontrollitegevusest peab säilima ka kontrolljälg (nt kontroll-leht</w:t>
            </w:r>
            <w:r w:rsidR="007C0F58" w:rsidRPr="003B4EEE">
              <w:rPr>
                <w:rStyle w:val="cf01"/>
                <w:rFonts w:ascii="Times New Roman" w:hAnsi="Times New Roman" w:cs="Times New Roman"/>
                <w:sz w:val="24"/>
                <w:szCs w:val="24"/>
              </w:rPr>
              <w:t>)</w:t>
            </w:r>
            <w:r w:rsidR="0086240D">
              <w:rPr>
                <w:rStyle w:val="cf01"/>
                <w:rFonts w:ascii="Times New Roman" w:hAnsi="Times New Roman" w:cs="Times New Roman"/>
                <w:sz w:val="24"/>
                <w:szCs w:val="24"/>
              </w:rPr>
              <w:t>.</w:t>
            </w:r>
          </w:p>
        </w:tc>
        <w:tc>
          <w:tcPr>
            <w:tcW w:w="5494" w:type="dxa"/>
          </w:tcPr>
          <w:p w14:paraId="5EDDE2EA" w14:textId="77777777" w:rsidR="004449EB" w:rsidRDefault="004449EB" w:rsidP="007C0F58">
            <w:pPr>
              <w:spacing w:before="120" w:after="120"/>
              <w:rPr>
                <w:rFonts w:ascii="Times New Roman" w:hAnsi="Times New Roman" w:cs="Times New Roman"/>
                <w:sz w:val="24"/>
                <w:szCs w:val="24"/>
              </w:rPr>
            </w:pPr>
            <w:r w:rsidRPr="004449EB">
              <w:rPr>
                <w:rFonts w:ascii="Times New Roman" w:hAnsi="Times New Roman" w:cs="Times New Roman"/>
                <w:b/>
                <w:bCs/>
                <w:sz w:val="24"/>
                <w:szCs w:val="24"/>
              </w:rPr>
              <w:t>Arvestatud</w:t>
            </w:r>
            <w:r>
              <w:rPr>
                <w:rFonts w:ascii="Times New Roman" w:hAnsi="Times New Roman" w:cs="Times New Roman"/>
                <w:sz w:val="24"/>
                <w:szCs w:val="24"/>
              </w:rPr>
              <w:t>.</w:t>
            </w:r>
          </w:p>
          <w:p w14:paraId="11307358" w14:textId="4384FE87" w:rsidR="000B1E25" w:rsidRPr="003B4EEE" w:rsidRDefault="004449EB" w:rsidP="007C0F58">
            <w:pPr>
              <w:spacing w:before="120" w:after="120"/>
              <w:rPr>
                <w:rFonts w:ascii="Times New Roman" w:hAnsi="Times New Roman" w:cs="Times New Roman"/>
                <w:sz w:val="24"/>
                <w:szCs w:val="24"/>
              </w:rPr>
            </w:pPr>
            <w:r>
              <w:rPr>
                <w:rFonts w:ascii="Times New Roman" w:hAnsi="Times New Roman" w:cs="Times New Roman"/>
                <w:sz w:val="24"/>
                <w:szCs w:val="24"/>
              </w:rPr>
              <w:t>Seletuskiri täiendatud.</w:t>
            </w:r>
          </w:p>
        </w:tc>
      </w:tr>
      <w:tr w:rsidR="000B1E25" w:rsidRPr="003B4EEE" w14:paraId="04110651" w14:textId="77777777" w:rsidTr="00420527">
        <w:tc>
          <w:tcPr>
            <w:tcW w:w="695" w:type="dxa"/>
          </w:tcPr>
          <w:p w14:paraId="18D986DF" w14:textId="77777777" w:rsidR="000B1E25" w:rsidRPr="003B4EEE" w:rsidRDefault="001B2CE3"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10</w:t>
            </w:r>
          </w:p>
        </w:tc>
        <w:tc>
          <w:tcPr>
            <w:tcW w:w="883" w:type="dxa"/>
          </w:tcPr>
          <w:p w14:paraId="7DFEFC6E" w14:textId="4138AF57" w:rsidR="00704C5F" w:rsidRDefault="00704C5F" w:rsidP="007C0F58">
            <w:pPr>
              <w:pStyle w:val="pf0"/>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w:t>
            </w:r>
            <w:r w:rsidRPr="00704C5F">
              <w:rPr>
                <w:rStyle w:val="cf01"/>
                <w:rFonts w:ascii="Times New Roman" w:hAnsi="Times New Roman" w:cs="Times New Roman"/>
                <w:sz w:val="24"/>
                <w:szCs w:val="24"/>
              </w:rPr>
              <w:t>TK</w:t>
            </w:r>
          </w:p>
        </w:tc>
        <w:tc>
          <w:tcPr>
            <w:tcW w:w="6922" w:type="dxa"/>
          </w:tcPr>
          <w:p w14:paraId="6C17E177" w14:textId="259270D2" w:rsidR="000B1E25" w:rsidRPr="003B4EEE" w:rsidRDefault="000B1E25" w:rsidP="007C0F58">
            <w:pPr>
              <w:pStyle w:val="pf0"/>
              <w:spacing w:before="120" w:beforeAutospacing="0" w:after="120" w:afterAutospacing="0"/>
            </w:pPr>
            <w:r w:rsidRPr="003B4EEE">
              <w:rPr>
                <w:rStyle w:val="cf01"/>
                <w:rFonts w:ascii="Times New Roman" w:hAnsi="Times New Roman" w:cs="Times New Roman"/>
                <w:sz w:val="24"/>
                <w:szCs w:val="24"/>
              </w:rPr>
              <w:t xml:space="preserve">Kas elluviija peab sõlmima lepingu kõikide Lisas 3 nimetatud partneritega, sh ka „Projektis osaleva </w:t>
            </w:r>
            <w:proofErr w:type="spellStart"/>
            <w:r w:rsidRPr="003B4EEE">
              <w:rPr>
                <w:rStyle w:val="cf01"/>
                <w:rFonts w:ascii="Times New Roman" w:hAnsi="Times New Roman" w:cs="Times New Roman"/>
                <w:sz w:val="24"/>
                <w:szCs w:val="24"/>
              </w:rPr>
              <w:t>TA-asutusega</w:t>
            </w:r>
            <w:proofErr w:type="spellEnd"/>
            <w:r w:rsidRPr="003B4EEE">
              <w:rPr>
                <w:rStyle w:val="cf01"/>
                <w:rFonts w:ascii="Times New Roman" w:hAnsi="Times New Roman" w:cs="Times New Roman"/>
                <w:sz w:val="24"/>
                <w:szCs w:val="24"/>
              </w:rPr>
              <w:t>“ ja kas sõlmitav leping on p.2.4 nimetatud ettevõtluskoostöö leping või p.14.2 nimetatud partnerlusleping?</w:t>
            </w:r>
          </w:p>
          <w:p w14:paraId="65C3358D" w14:textId="0EDEDE4B" w:rsidR="000B1E25" w:rsidRPr="003B4EEE" w:rsidRDefault="000B1E25" w:rsidP="007C0F58">
            <w:pPr>
              <w:pStyle w:val="pf0"/>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 xml:space="preserve">Ettepanek Lisa 3 veerus „Partner (TA- asutus)“ märgitud partnerit nimetada juhtpartneriks ja teisi projekti kaasatud </w:t>
            </w:r>
            <w:proofErr w:type="spellStart"/>
            <w:r w:rsidRPr="003B4EEE">
              <w:rPr>
                <w:rStyle w:val="cf01"/>
                <w:rFonts w:ascii="Times New Roman" w:hAnsi="Times New Roman" w:cs="Times New Roman"/>
                <w:sz w:val="24"/>
                <w:szCs w:val="24"/>
              </w:rPr>
              <w:t>TA-asutusi</w:t>
            </w:r>
            <w:proofErr w:type="spellEnd"/>
            <w:r w:rsidRPr="003B4EEE">
              <w:rPr>
                <w:rStyle w:val="cf01"/>
                <w:rFonts w:ascii="Times New Roman" w:hAnsi="Times New Roman" w:cs="Times New Roman"/>
                <w:sz w:val="24"/>
                <w:szCs w:val="24"/>
              </w:rPr>
              <w:t xml:space="preserve"> lihtsalt partneriteks.</w:t>
            </w:r>
          </w:p>
        </w:tc>
        <w:tc>
          <w:tcPr>
            <w:tcW w:w="5494" w:type="dxa"/>
          </w:tcPr>
          <w:p w14:paraId="51CE1373" w14:textId="62765D88" w:rsidR="00704C5F" w:rsidRPr="00704C5F" w:rsidRDefault="00704C5F" w:rsidP="007C0F58">
            <w:pPr>
              <w:spacing w:before="120" w:after="120"/>
              <w:rPr>
                <w:rFonts w:ascii="Times New Roman" w:hAnsi="Times New Roman" w:cs="Times New Roman"/>
                <w:b/>
                <w:bCs/>
                <w:sz w:val="24"/>
                <w:szCs w:val="24"/>
              </w:rPr>
            </w:pPr>
            <w:r w:rsidRPr="00704C5F">
              <w:rPr>
                <w:rFonts w:ascii="Times New Roman" w:hAnsi="Times New Roman" w:cs="Times New Roman"/>
                <w:b/>
                <w:bCs/>
                <w:sz w:val="24"/>
                <w:szCs w:val="24"/>
              </w:rPr>
              <w:t>Arvestatud osaliselt.</w:t>
            </w:r>
          </w:p>
          <w:p w14:paraId="15A3CEB9" w14:textId="7ADB83EC" w:rsidR="006E66D9" w:rsidRPr="003B4EEE" w:rsidRDefault="007C0F58"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Ell</w:t>
            </w:r>
            <w:r w:rsidR="00704C5F">
              <w:rPr>
                <w:rFonts w:ascii="Times New Roman" w:hAnsi="Times New Roman" w:cs="Times New Roman"/>
                <w:sz w:val="24"/>
                <w:szCs w:val="24"/>
              </w:rPr>
              <w:t>u</w:t>
            </w:r>
            <w:r w:rsidRPr="003B4EEE">
              <w:rPr>
                <w:rFonts w:ascii="Times New Roman" w:hAnsi="Times New Roman" w:cs="Times New Roman"/>
                <w:sz w:val="24"/>
                <w:szCs w:val="24"/>
              </w:rPr>
              <w:t>viija</w:t>
            </w:r>
            <w:r w:rsidR="006E66D9" w:rsidRPr="003B4EEE">
              <w:rPr>
                <w:rFonts w:ascii="Times New Roman" w:hAnsi="Times New Roman" w:cs="Times New Roman"/>
                <w:sz w:val="24"/>
                <w:szCs w:val="24"/>
              </w:rPr>
              <w:t xml:space="preserve"> sõlmib lepingu partneriga</w:t>
            </w:r>
            <w:r w:rsidRPr="003B4EEE">
              <w:rPr>
                <w:rFonts w:ascii="Times New Roman" w:hAnsi="Times New Roman" w:cs="Times New Roman"/>
                <w:sz w:val="24"/>
                <w:szCs w:val="24"/>
              </w:rPr>
              <w:t>.</w:t>
            </w:r>
            <w:r w:rsidR="006E66D9" w:rsidRPr="003B4EEE">
              <w:rPr>
                <w:rFonts w:ascii="Times New Roman" w:hAnsi="Times New Roman" w:cs="Times New Roman"/>
                <w:sz w:val="24"/>
                <w:szCs w:val="24"/>
              </w:rPr>
              <w:t xml:space="preserve"> See e</w:t>
            </w:r>
            <w:r w:rsidR="001B2CE3" w:rsidRPr="003B4EEE">
              <w:rPr>
                <w:rFonts w:ascii="Times New Roman" w:hAnsi="Times New Roman" w:cs="Times New Roman"/>
                <w:sz w:val="24"/>
                <w:szCs w:val="24"/>
              </w:rPr>
              <w:t xml:space="preserve">i ole ettevõtluskoostöö leping </w:t>
            </w:r>
            <w:r w:rsidRPr="003B4EEE">
              <w:rPr>
                <w:rFonts w:ascii="Times New Roman" w:hAnsi="Times New Roman" w:cs="Times New Roman"/>
                <w:sz w:val="24"/>
                <w:szCs w:val="24"/>
              </w:rPr>
              <w:t>p</w:t>
            </w:r>
            <w:r w:rsidR="00E83924">
              <w:rPr>
                <w:rFonts w:ascii="Times New Roman" w:hAnsi="Times New Roman" w:cs="Times New Roman"/>
                <w:sz w:val="24"/>
                <w:szCs w:val="24"/>
              </w:rPr>
              <w:t>.</w:t>
            </w:r>
            <w:r w:rsidRPr="003B4EEE">
              <w:rPr>
                <w:rFonts w:ascii="Times New Roman" w:hAnsi="Times New Roman" w:cs="Times New Roman"/>
                <w:sz w:val="24"/>
                <w:szCs w:val="24"/>
              </w:rPr>
              <w:t>2</w:t>
            </w:r>
            <w:r w:rsidR="001B2CE3" w:rsidRPr="003B4EEE">
              <w:rPr>
                <w:rFonts w:ascii="Times New Roman" w:hAnsi="Times New Roman" w:cs="Times New Roman"/>
                <w:sz w:val="24"/>
                <w:szCs w:val="24"/>
              </w:rPr>
              <w:t>.4. mõistes</w:t>
            </w:r>
            <w:r w:rsidR="006E66D9" w:rsidRPr="003B4EEE">
              <w:rPr>
                <w:rFonts w:ascii="Times New Roman" w:hAnsi="Times New Roman" w:cs="Times New Roman"/>
                <w:sz w:val="24"/>
                <w:szCs w:val="24"/>
              </w:rPr>
              <w:t xml:space="preserve">. </w:t>
            </w:r>
            <w:r w:rsidR="00E83924">
              <w:rPr>
                <w:rFonts w:ascii="Times New Roman" w:hAnsi="Times New Roman" w:cs="Times New Roman"/>
                <w:sz w:val="24"/>
                <w:szCs w:val="24"/>
              </w:rPr>
              <w:t>E</w:t>
            </w:r>
            <w:r w:rsidRPr="003B4EEE">
              <w:rPr>
                <w:rFonts w:ascii="Times New Roman" w:hAnsi="Times New Roman" w:cs="Times New Roman"/>
                <w:sz w:val="24"/>
                <w:szCs w:val="24"/>
              </w:rPr>
              <w:t>lluviija</w:t>
            </w:r>
            <w:r w:rsidR="006E66D9" w:rsidRPr="003B4EEE">
              <w:rPr>
                <w:rFonts w:ascii="Times New Roman" w:hAnsi="Times New Roman" w:cs="Times New Roman"/>
                <w:sz w:val="24"/>
                <w:szCs w:val="24"/>
              </w:rPr>
              <w:t xml:space="preserve"> ja partneri vaheline leping</w:t>
            </w:r>
            <w:r w:rsidR="00E83924">
              <w:rPr>
                <w:rFonts w:ascii="Times New Roman" w:hAnsi="Times New Roman" w:cs="Times New Roman"/>
                <w:sz w:val="24"/>
                <w:szCs w:val="24"/>
              </w:rPr>
              <w:t xml:space="preserve"> on toodud punktis</w:t>
            </w:r>
            <w:r w:rsidR="006E66D9" w:rsidRPr="003B4EEE">
              <w:rPr>
                <w:rFonts w:ascii="Times New Roman" w:hAnsi="Times New Roman" w:cs="Times New Roman"/>
                <w:sz w:val="24"/>
                <w:szCs w:val="24"/>
              </w:rPr>
              <w:t xml:space="preserve"> 9.3.9</w:t>
            </w:r>
            <w:r w:rsidRPr="003B4EEE">
              <w:rPr>
                <w:rFonts w:ascii="Times New Roman" w:hAnsi="Times New Roman" w:cs="Times New Roman"/>
                <w:sz w:val="24"/>
                <w:szCs w:val="24"/>
              </w:rPr>
              <w:t xml:space="preserve">. </w:t>
            </w:r>
            <w:r w:rsidR="00E83924">
              <w:rPr>
                <w:rFonts w:ascii="Times New Roman" w:hAnsi="Times New Roman" w:cs="Times New Roman"/>
                <w:sz w:val="24"/>
                <w:szCs w:val="24"/>
              </w:rPr>
              <w:t xml:space="preserve">ning viidatud punktis 14.2. </w:t>
            </w:r>
          </w:p>
          <w:p w14:paraId="483E48D4" w14:textId="6D5092C7" w:rsidR="006E66D9" w:rsidRPr="003B4EEE" w:rsidRDefault="006E66D9"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 xml:space="preserve">Muudatus Lisas 3 ei ole õigustatud. Partner on </w:t>
            </w:r>
            <w:r w:rsidR="007C0F58">
              <w:rPr>
                <w:rFonts w:ascii="Times New Roman" w:hAnsi="Times New Roman" w:cs="Times New Roman"/>
                <w:sz w:val="24"/>
                <w:szCs w:val="24"/>
              </w:rPr>
              <w:t>käskkirja punkt 7.1 kohaselt elluviijale partner</w:t>
            </w:r>
            <w:r w:rsidRPr="003B4EEE">
              <w:rPr>
                <w:rFonts w:ascii="Times New Roman" w:hAnsi="Times New Roman" w:cs="Times New Roman"/>
                <w:sz w:val="24"/>
                <w:szCs w:val="24"/>
              </w:rPr>
              <w:t xml:space="preserve">, teised on </w:t>
            </w:r>
            <w:proofErr w:type="spellStart"/>
            <w:r w:rsidRPr="003B4EEE">
              <w:rPr>
                <w:rFonts w:ascii="Times New Roman" w:hAnsi="Times New Roman" w:cs="Times New Roman"/>
                <w:sz w:val="24"/>
                <w:szCs w:val="24"/>
              </w:rPr>
              <w:t>TA-asutused</w:t>
            </w:r>
            <w:proofErr w:type="spellEnd"/>
            <w:r w:rsidRPr="003B4EEE">
              <w:rPr>
                <w:rFonts w:ascii="Times New Roman" w:hAnsi="Times New Roman" w:cs="Times New Roman"/>
                <w:sz w:val="24"/>
                <w:szCs w:val="24"/>
              </w:rPr>
              <w:t xml:space="preserve"> ehk kaasuvad asutused</w:t>
            </w:r>
            <w:r w:rsidR="007C0F58">
              <w:rPr>
                <w:rFonts w:ascii="Times New Roman" w:hAnsi="Times New Roman" w:cs="Times New Roman"/>
                <w:sz w:val="24"/>
                <w:szCs w:val="24"/>
              </w:rPr>
              <w:t xml:space="preserve"> partneritele</w:t>
            </w:r>
            <w:r w:rsidRPr="003B4EEE">
              <w:rPr>
                <w:rFonts w:ascii="Times New Roman" w:hAnsi="Times New Roman" w:cs="Times New Roman"/>
                <w:sz w:val="24"/>
                <w:szCs w:val="24"/>
              </w:rPr>
              <w:t>.</w:t>
            </w:r>
          </w:p>
        </w:tc>
      </w:tr>
      <w:tr w:rsidR="000B1E25" w:rsidRPr="003B4EEE" w14:paraId="40494B1C" w14:textId="77777777" w:rsidTr="00420527">
        <w:tc>
          <w:tcPr>
            <w:tcW w:w="695" w:type="dxa"/>
          </w:tcPr>
          <w:p w14:paraId="1C2BF1A6" w14:textId="77777777" w:rsidR="000B1E25" w:rsidRPr="003B4EEE" w:rsidRDefault="00461D7E"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11</w:t>
            </w:r>
          </w:p>
        </w:tc>
        <w:tc>
          <w:tcPr>
            <w:tcW w:w="883" w:type="dxa"/>
          </w:tcPr>
          <w:p w14:paraId="7DA5AEA9" w14:textId="2215EA5F" w:rsidR="00420527" w:rsidRDefault="00420527" w:rsidP="007C0F58">
            <w:pPr>
              <w:pStyle w:val="pf0"/>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w:t>
            </w:r>
            <w:r w:rsidRPr="00420527">
              <w:rPr>
                <w:rStyle w:val="cf01"/>
                <w:rFonts w:ascii="Times New Roman" w:hAnsi="Times New Roman" w:cs="Times New Roman"/>
                <w:sz w:val="24"/>
                <w:szCs w:val="24"/>
              </w:rPr>
              <w:t>TK</w:t>
            </w:r>
          </w:p>
        </w:tc>
        <w:tc>
          <w:tcPr>
            <w:tcW w:w="6922" w:type="dxa"/>
          </w:tcPr>
          <w:p w14:paraId="5CE224D3" w14:textId="77972CFC" w:rsidR="000B1E25" w:rsidRPr="003B4EEE" w:rsidRDefault="000B1E25" w:rsidP="007C0F58">
            <w:pPr>
              <w:pStyle w:val="pf0"/>
              <w:spacing w:before="120" w:beforeAutospacing="0" w:after="120" w:afterAutospacing="0"/>
            </w:pPr>
            <w:r w:rsidRPr="003B4EEE">
              <w:rPr>
                <w:rStyle w:val="cf01"/>
                <w:rFonts w:ascii="Times New Roman" w:hAnsi="Times New Roman" w:cs="Times New Roman"/>
                <w:sz w:val="24"/>
                <w:szCs w:val="24"/>
              </w:rPr>
              <w:t>Kuna täielikult ei ole välistatud võimalus, et mõne uurimisprojekti raames antakse riigiabi, siis võiks partneritele lisada kohustuse, mille kohaselt peavad nad vajadusel arvestust majandustegevuse ja mittemajandustegevuse mahtude üle, eristavad raamatupidamises majandustegevuse ja mittemajandustegevuse kulud ning esitavad elluviijale andmed majandusliku ja mittemajandusliku tegevuse kohta.</w:t>
            </w:r>
          </w:p>
          <w:p w14:paraId="55A64800" w14:textId="2E2464E5" w:rsidR="000B1E25" w:rsidRPr="003B4EEE" w:rsidRDefault="000B1E25" w:rsidP="00420527">
            <w:pPr>
              <w:pStyle w:val="Normaallaadveeb"/>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See nõue aitaks ka elluviijal tagada kooskõla riigiabi reeglitega.</w:t>
            </w:r>
          </w:p>
        </w:tc>
        <w:tc>
          <w:tcPr>
            <w:tcW w:w="5494" w:type="dxa"/>
          </w:tcPr>
          <w:p w14:paraId="06941670" w14:textId="586FE72F" w:rsidR="00420527" w:rsidRDefault="00420527" w:rsidP="007C0F58">
            <w:pPr>
              <w:spacing w:before="120" w:after="120"/>
              <w:rPr>
                <w:rFonts w:ascii="Times New Roman" w:hAnsi="Times New Roman" w:cs="Times New Roman"/>
                <w:sz w:val="24"/>
                <w:szCs w:val="24"/>
              </w:rPr>
            </w:pPr>
            <w:r w:rsidRPr="00420527">
              <w:rPr>
                <w:rFonts w:ascii="Times New Roman" w:hAnsi="Times New Roman" w:cs="Times New Roman"/>
                <w:b/>
                <w:bCs/>
                <w:sz w:val="24"/>
                <w:szCs w:val="24"/>
              </w:rPr>
              <w:t>Arvestatud</w:t>
            </w:r>
            <w:r>
              <w:rPr>
                <w:rFonts w:ascii="Times New Roman" w:hAnsi="Times New Roman" w:cs="Times New Roman"/>
                <w:sz w:val="24"/>
                <w:szCs w:val="24"/>
              </w:rPr>
              <w:t>.</w:t>
            </w:r>
          </w:p>
          <w:p w14:paraId="0289ACBE" w14:textId="7224FF34" w:rsidR="007C0F58" w:rsidRPr="00420527" w:rsidRDefault="007C0F58" w:rsidP="007C0F58">
            <w:pPr>
              <w:spacing w:before="120" w:after="120"/>
              <w:rPr>
                <w:rFonts w:ascii="Times New Roman" w:hAnsi="Times New Roman" w:cs="Times New Roman"/>
                <w:sz w:val="24"/>
                <w:szCs w:val="24"/>
              </w:rPr>
            </w:pPr>
            <w:r w:rsidRPr="00420527">
              <w:rPr>
                <w:rFonts w:ascii="Times New Roman" w:hAnsi="Times New Roman" w:cs="Times New Roman"/>
                <w:sz w:val="24"/>
                <w:szCs w:val="24"/>
              </w:rPr>
              <w:t xml:space="preserve">Seletuskirja riigiabi analüüsi on täiendatud ning lisatud selgitus, et uurimisprojekte </w:t>
            </w:r>
            <w:proofErr w:type="spellStart"/>
            <w:r w:rsidRPr="00420527">
              <w:rPr>
                <w:rFonts w:ascii="Times New Roman" w:hAnsi="Times New Roman" w:cs="Times New Roman"/>
                <w:sz w:val="24"/>
                <w:szCs w:val="24"/>
              </w:rPr>
              <w:t>ellu</w:t>
            </w:r>
            <w:r w:rsidR="00420527">
              <w:rPr>
                <w:rFonts w:ascii="Times New Roman" w:hAnsi="Times New Roman" w:cs="Times New Roman"/>
                <w:sz w:val="24"/>
                <w:szCs w:val="24"/>
              </w:rPr>
              <w:softHyphen/>
            </w:r>
            <w:r w:rsidRPr="00420527">
              <w:rPr>
                <w:rFonts w:ascii="Times New Roman" w:hAnsi="Times New Roman" w:cs="Times New Roman"/>
                <w:sz w:val="24"/>
                <w:szCs w:val="24"/>
              </w:rPr>
              <w:t>viivad</w:t>
            </w:r>
            <w:proofErr w:type="spellEnd"/>
            <w:r w:rsidRPr="00420527">
              <w:rPr>
                <w:rFonts w:ascii="Times New Roman" w:hAnsi="Times New Roman" w:cs="Times New Roman"/>
                <w:sz w:val="24"/>
                <w:szCs w:val="24"/>
              </w:rPr>
              <w:t xml:space="preserve"> partnerid on positiivselt </w:t>
            </w:r>
            <w:proofErr w:type="spellStart"/>
            <w:r w:rsidRPr="00420527">
              <w:rPr>
                <w:rFonts w:ascii="Times New Roman" w:hAnsi="Times New Roman" w:cs="Times New Roman"/>
                <w:sz w:val="24"/>
                <w:szCs w:val="24"/>
              </w:rPr>
              <w:t>eval</w:t>
            </w:r>
            <w:r w:rsidR="00420527">
              <w:rPr>
                <w:rFonts w:ascii="Times New Roman" w:hAnsi="Times New Roman" w:cs="Times New Roman"/>
                <w:sz w:val="24"/>
                <w:szCs w:val="24"/>
              </w:rPr>
              <w:softHyphen/>
            </w:r>
            <w:r w:rsidRPr="00420527">
              <w:rPr>
                <w:rFonts w:ascii="Times New Roman" w:hAnsi="Times New Roman" w:cs="Times New Roman"/>
                <w:sz w:val="24"/>
                <w:szCs w:val="24"/>
              </w:rPr>
              <w:t>veeri</w:t>
            </w:r>
            <w:r w:rsidR="00420527">
              <w:rPr>
                <w:rFonts w:ascii="Times New Roman" w:hAnsi="Times New Roman" w:cs="Times New Roman"/>
                <w:sz w:val="24"/>
                <w:szCs w:val="24"/>
              </w:rPr>
              <w:softHyphen/>
            </w:r>
            <w:r w:rsidRPr="00420527">
              <w:rPr>
                <w:rFonts w:ascii="Times New Roman" w:hAnsi="Times New Roman" w:cs="Times New Roman"/>
                <w:sz w:val="24"/>
                <w:szCs w:val="24"/>
              </w:rPr>
              <w:t>tud</w:t>
            </w:r>
            <w:proofErr w:type="spellEnd"/>
            <w:r w:rsidRPr="00420527">
              <w:rPr>
                <w:rFonts w:ascii="Times New Roman" w:hAnsi="Times New Roman" w:cs="Times New Roman"/>
                <w:sz w:val="24"/>
                <w:szCs w:val="24"/>
              </w:rPr>
              <w:t xml:space="preserve"> teadus- ja arendusasutused Teadus- ja arendustegevuse korralduse seaduse mõttes, kellel on seadusest tulenev kohustus eristada raamatupidamises majandustegevuse ja mittemajandus</w:t>
            </w:r>
            <w:r w:rsidR="00420527">
              <w:rPr>
                <w:rFonts w:ascii="Times New Roman" w:hAnsi="Times New Roman" w:cs="Times New Roman"/>
                <w:sz w:val="24"/>
                <w:szCs w:val="24"/>
              </w:rPr>
              <w:softHyphen/>
            </w:r>
            <w:r w:rsidRPr="00420527">
              <w:rPr>
                <w:rFonts w:ascii="Times New Roman" w:hAnsi="Times New Roman" w:cs="Times New Roman"/>
                <w:sz w:val="24"/>
                <w:szCs w:val="24"/>
              </w:rPr>
              <w:t xml:space="preserve">tegevuse kulud. </w:t>
            </w:r>
          </w:p>
          <w:p w14:paraId="67250A74" w14:textId="7FD090D4" w:rsidR="000B1E25" w:rsidRPr="003B4EEE" w:rsidRDefault="007C0F58" w:rsidP="007C0F58">
            <w:pPr>
              <w:spacing w:before="120" w:after="120"/>
              <w:rPr>
                <w:rFonts w:ascii="Times New Roman" w:hAnsi="Times New Roman" w:cs="Times New Roman"/>
                <w:sz w:val="24"/>
                <w:szCs w:val="24"/>
              </w:rPr>
            </w:pPr>
            <w:r w:rsidRPr="00420527">
              <w:rPr>
                <w:rFonts w:ascii="Times New Roman" w:hAnsi="Times New Roman" w:cs="Times New Roman"/>
                <w:sz w:val="24"/>
                <w:szCs w:val="24"/>
              </w:rPr>
              <w:t>Eelnõusse on lisatud riigiabist tulenevad kohustused elluviijale ja partneritele.</w:t>
            </w:r>
          </w:p>
        </w:tc>
      </w:tr>
      <w:tr w:rsidR="000B1E25" w:rsidRPr="003B4EEE" w14:paraId="27CB07B0" w14:textId="77777777" w:rsidTr="00420527">
        <w:tc>
          <w:tcPr>
            <w:tcW w:w="695" w:type="dxa"/>
          </w:tcPr>
          <w:p w14:paraId="56D3441E" w14:textId="77777777" w:rsidR="000B1E25" w:rsidRPr="003B4EEE" w:rsidRDefault="00461D7E"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12</w:t>
            </w:r>
          </w:p>
        </w:tc>
        <w:tc>
          <w:tcPr>
            <w:tcW w:w="883" w:type="dxa"/>
          </w:tcPr>
          <w:p w14:paraId="471F048F" w14:textId="4A6D6884" w:rsidR="00077727" w:rsidRDefault="00077727" w:rsidP="007C0F58">
            <w:pPr>
              <w:pStyle w:val="pf0"/>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RTK</w:t>
            </w:r>
          </w:p>
        </w:tc>
        <w:tc>
          <w:tcPr>
            <w:tcW w:w="6922" w:type="dxa"/>
          </w:tcPr>
          <w:p w14:paraId="650A9B49" w14:textId="53DE521D" w:rsidR="000B1E25" w:rsidRPr="003B4EEE" w:rsidRDefault="000B1E25" w:rsidP="007C0F58">
            <w:pPr>
              <w:pStyle w:val="pf0"/>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 xml:space="preserve">Viimase grupierandi määruse muudatusega lisati veel üks välistus, mil määrust ei kohaldata. Seepärast ettepanek sõnastada „artikli 1 lõigetes 2 – 6 sätestatud juhtudel“. </w:t>
            </w:r>
          </w:p>
        </w:tc>
        <w:tc>
          <w:tcPr>
            <w:tcW w:w="5494" w:type="dxa"/>
          </w:tcPr>
          <w:p w14:paraId="62F43801" w14:textId="41A25367" w:rsidR="001917E8" w:rsidRPr="003B4EEE" w:rsidRDefault="00420527" w:rsidP="007C0F58">
            <w:pPr>
              <w:spacing w:before="120" w:after="120"/>
              <w:rPr>
                <w:rFonts w:ascii="Times New Roman" w:hAnsi="Times New Roman" w:cs="Times New Roman"/>
                <w:sz w:val="24"/>
                <w:szCs w:val="24"/>
              </w:rPr>
            </w:pPr>
            <w:r w:rsidRPr="00420527">
              <w:rPr>
                <w:rFonts w:ascii="Times New Roman" w:hAnsi="Times New Roman" w:cs="Times New Roman"/>
                <w:b/>
                <w:bCs/>
                <w:sz w:val="24"/>
                <w:szCs w:val="24"/>
              </w:rPr>
              <w:t>Arvestatud</w:t>
            </w:r>
            <w:r>
              <w:rPr>
                <w:rFonts w:ascii="Times New Roman" w:hAnsi="Times New Roman" w:cs="Times New Roman"/>
                <w:sz w:val="24"/>
                <w:szCs w:val="24"/>
              </w:rPr>
              <w:t>.</w:t>
            </w:r>
          </w:p>
        </w:tc>
      </w:tr>
      <w:tr w:rsidR="000B1E25" w:rsidRPr="003B4EEE" w14:paraId="762902DD" w14:textId="77777777" w:rsidTr="00420527">
        <w:tc>
          <w:tcPr>
            <w:tcW w:w="695" w:type="dxa"/>
          </w:tcPr>
          <w:p w14:paraId="32F2B9C3" w14:textId="77777777" w:rsidR="000B1E25" w:rsidRPr="003B4EEE" w:rsidRDefault="007D12E9"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lastRenderedPageBreak/>
              <w:t>13</w:t>
            </w:r>
          </w:p>
        </w:tc>
        <w:tc>
          <w:tcPr>
            <w:tcW w:w="883" w:type="dxa"/>
          </w:tcPr>
          <w:p w14:paraId="577BCE15" w14:textId="06659D65" w:rsidR="00077727" w:rsidRDefault="00077727" w:rsidP="007C0F58">
            <w:pPr>
              <w:pStyle w:val="pf0"/>
              <w:spacing w:before="120" w:beforeAutospacing="0"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t>RTK</w:t>
            </w:r>
          </w:p>
        </w:tc>
        <w:tc>
          <w:tcPr>
            <w:tcW w:w="6922" w:type="dxa"/>
          </w:tcPr>
          <w:p w14:paraId="24CD4AFA" w14:textId="5ED2C927" w:rsidR="000B1E25" w:rsidRPr="003B4EEE" w:rsidRDefault="000B1E25" w:rsidP="007C0F58">
            <w:pPr>
              <w:pStyle w:val="pf0"/>
              <w:spacing w:before="120" w:beforeAutospacing="0" w:after="120" w:afterAutospacing="0"/>
            </w:pPr>
            <w:r w:rsidRPr="003B4EEE">
              <w:rPr>
                <w:rStyle w:val="cf01"/>
                <w:rFonts w:ascii="Times New Roman" w:hAnsi="Times New Roman" w:cs="Times New Roman"/>
                <w:sz w:val="24"/>
                <w:szCs w:val="24"/>
              </w:rPr>
              <w:t xml:space="preserve">Millist rahastamisskeemi riigiabi andmisel siis kasutatakse? Kui grandi kulukomponendid ei vasta ÜGEM art 25 toodud kuludele siis kirjeldada kuidas toimub rahastamine kui tegemist on riigiabiga. </w:t>
            </w:r>
          </w:p>
          <w:p w14:paraId="1DD97DAF" w14:textId="76CA0BDF" w:rsidR="000B1E25" w:rsidRPr="003B4EEE" w:rsidRDefault="000B1E25" w:rsidP="007C0F58">
            <w:pPr>
              <w:pStyle w:val="pf0"/>
              <w:spacing w:before="120" w:beforeAutospacing="0" w:after="120" w:afterAutospacing="0"/>
              <w:rPr>
                <w:rStyle w:val="cf01"/>
                <w:rFonts w:ascii="Times New Roman" w:hAnsi="Times New Roman" w:cs="Times New Roman"/>
                <w:sz w:val="24"/>
                <w:szCs w:val="24"/>
              </w:rPr>
            </w:pPr>
            <w:r w:rsidRPr="003B4EEE">
              <w:rPr>
                <w:rStyle w:val="cf01"/>
                <w:rFonts w:ascii="Times New Roman" w:hAnsi="Times New Roman" w:cs="Times New Roman"/>
                <w:sz w:val="24"/>
                <w:szCs w:val="24"/>
              </w:rPr>
              <w:t xml:space="preserve">Rühmagrandi eelarve juhises toodud kulud päris ei vasta art 25 toodud kuludele (eelarve näidis, mida taotleja peab täitma rühmagrandi määramisel) - eelarve abijuhendis on ka üliõpilaste teadustöö stipendiumid ja põhivara soetamiskulud. Aga ei leidnud dokumenti, mille alusel on rühmagrandi suurus kokku lepitud - oluline on kulude loetelu, kontrollida kas art 25 ja rühmagrandi hinna analüüsis kajastuvad kulud kattuvad või ei. </w:t>
            </w:r>
          </w:p>
        </w:tc>
        <w:tc>
          <w:tcPr>
            <w:tcW w:w="5494" w:type="dxa"/>
          </w:tcPr>
          <w:p w14:paraId="7D679F41" w14:textId="056C766A" w:rsidR="007C0F58" w:rsidRPr="00420527" w:rsidRDefault="007C0F58" w:rsidP="007C0F58">
            <w:pPr>
              <w:spacing w:before="120" w:after="120"/>
              <w:rPr>
                <w:rFonts w:ascii="Times New Roman" w:hAnsi="Times New Roman" w:cs="Times New Roman"/>
                <w:sz w:val="24"/>
                <w:szCs w:val="24"/>
              </w:rPr>
            </w:pPr>
            <w:r w:rsidRPr="00077727">
              <w:rPr>
                <w:rFonts w:ascii="Times New Roman" w:hAnsi="Times New Roman" w:cs="Times New Roman"/>
                <w:b/>
                <w:bCs/>
                <w:sz w:val="24"/>
                <w:szCs w:val="24"/>
              </w:rPr>
              <w:t>Selgitame</w:t>
            </w:r>
            <w:r w:rsidRPr="00420527">
              <w:rPr>
                <w:rFonts w:ascii="Times New Roman" w:hAnsi="Times New Roman" w:cs="Times New Roman"/>
                <w:sz w:val="24"/>
                <w:szCs w:val="24"/>
              </w:rPr>
              <w:t>.</w:t>
            </w:r>
          </w:p>
          <w:p w14:paraId="3BB75AFF" w14:textId="3C442C7D" w:rsidR="000B1E25" w:rsidRPr="003B4EEE" w:rsidRDefault="007C0F58" w:rsidP="007C0F58">
            <w:pPr>
              <w:spacing w:before="120" w:after="120"/>
              <w:rPr>
                <w:rFonts w:ascii="Times New Roman" w:hAnsi="Times New Roman" w:cs="Times New Roman"/>
                <w:sz w:val="24"/>
                <w:szCs w:val="24"/>
              </w:rPr>
            </w:pPr>
            <w:r w:rsidRPr="00420527">
              <w:rPr>
                <w:rFonts w:ascii="Times New Roman" w:hAnsi="Times New Roman" w:cs="Times New Roman"/>
                <w:sz w:val="24"/>
                <w:szCs w:val="24"/>
              </w:rPr>
              <w:t xml:space="preserve">Kasutatakse ühendmääruse §-s </w:t>
            </w:r>
            <w:r w:rsidR="008C56EB">
              <w:rPr>
                <w:rFonts w:ascii="Times New Roman" w:hAnsi="Times New Roman" w:cs="Times New Roman"/>
                <w:sz w:val="24"/>
                <w:szCs w:val="24"/>
              </w:rPr>
              <w:t>18 lg 3</w:t>
            </w:r>
            <w:r w:rsidRPr="00420527">
              <w:rPr>
                <w:rFonts w:ascii="Times New Roman" w:hAnsi="Times New Roman" w:cs="Times New Roman"/>
                <w:sz w:val="24"/>
                <w:szCs w:val="24"/>
              </w:rPr>
              <w:t xml:space="preserve"> sätestatud ühikuhindu. Ühikuhinna aluseks olevates rühmagrandi võimalikud kulud kattuvad üldjoontes kuludega, mis on toodud ÜGEM artiklis 25 ning on kooskõlas ühendmääruse §-des 15-17 ning 21 sätestatuga. </w:t>
            </w:r>
          </w:p>
        </w:tc>
      </w:tr>
      <w:tr w:rsidR="003B4EEE" w:rsidRPr="003B4EEE" w14:paraId="7FACC7FE" w14:textId="77777777" w:rsidTr="00420527">
        <w:tc>
          <w:tcPr>
            <w:tcW w:w="695" w:type="dxa"/>
          </w:tcPr>
          <w:p w14:paraId="1E5FBF3D" w14:textId="44FC618D" w:rsidR="003B4EEE" w:rsidRPr="003B4EEE" w:rsidRDefault="003B4EEE"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14</w:t>
            </w:r>
          </w:p>
        </w:tc>
        <w:tc>
          <w:tcPr>
            <w:tcW w:w="883" w:type="dxa"/>
          </w:tcPr>
          <w:p w14:paraId="5DB9A2FB" w14:textId="579FB936" w:rsidR="00077727" w:rsidRPr="00077727" w:rsidRDefault="00077727" w:rsidP="007C0F58">
            <w:pPr>
              <w:spacing w:before="120" w:after="120"/>
              <w:rPr>
                <w:rFonts w:ascii="Times New Roman" w:eastAsia="Times New Roman" w:hAnsi="Times New Roman" w:cs="Times New Roman"/>
                <w:sz w:val="24"/>
                <w:szCs w:val="24"/>
              </w:rPr>
            </w:pPr>
            <w:r w:rsidRPr="00077727">
              <w:rPr>
                <w:rFonts w:ascii="Times New Roman" w:eastAsia="Times New Roman" w:hAnsi="Times New Roman" w:cs="Times New Roman"/>
                <w:sz w:val="24"/>
                <w:szCs w:val="24"/>
              </w:rPr>
              <w:t>RM</w:t>
            </w:r>
          </w:p>
        </w:tc>
        <w:tc>
          <w:tcPr>
            <w:tcW w:w="6922" w:type="dxa"/>
          </w:tcPr>
          <w:p w14:paraId="5A3850D0" w14:textId="1907DD18" w:rsidR="003B4EEE" w:rsidRDefault="003B4EEE" w:rsidP="007C0F58">
            <w:pPr>
              <w:spacing w:before="120" w:after="120"/>
              <w:rPr>
                <w:rFonts w:ascii="Times New Roman" w:eastAsia="Times New Roman" w:hAnsi="Times New Roman" w:cs="Times New Roman"/>
                <w:sz w:val="24"/>
                <w:szCs w:val="24"/>
              </w:rPr>
            </w:pPr>
            <w:r w:rsidRPr="003B4EEE">
              <w:rPr>
                <w:rFonts w:ascii="Times New Roman" w:eastAsia="Times New Roman" w:hAnsi="Times New Roman" w:cs="Times New Roman"/>
                <w:sz w:val="24"/>
                <w:szCs w:val="24"/>
                <w:u w:val="single"/>
              </w:rPr>
              <w:t>Eelnõu p 13.8</w:t>
            </w:r>
            <w:r w:rsidRPr="003B4EEE">
              <w:rPr>
                <w:rFonts w:ascii="Times New Roman" w:eastAsia="Times New Roman" w:hAnsi="Times New Roman" w:cs="Times New Roman"/>
                <w:sz w:val="24"/>
                <w:szCs w:val="24"/>
              </w:rPr>
              <w:t xml:space="preserve"> kohta on tehniline kommentaar – viidatakse konkurentsiseaduse §-le 342, kuid õige oleks viide §-le 34</w:t>
            </w:r>
            <w:r w:rsidRPr="003B4EEE">
              <w:rPr>
                <w:rFonts w:ascii="Times New Roman" w:eastAsia="Times New Roman" w:hAnsi="Times New Roman" w:cs="Times New Roman"/>
                <w:sz w:val="24"/>
                <w:szCs w:val="24"/>
                <w:vertAlign w:val="superscript"/>
              </w:rPr>
              <w:t>2</w:t>
            </w:r>
            <w:r w:rsidRPr="003B4EEE">
              <w:rPr>
                <w:rFonts w:ascii="Times New Roman" w:eastAsia="Times New Roman" w:hAnsi="Times New Roman" w:cs="Times New Roman"/>
                <w:sz w:val="24"/>
                <w:szCs w:val="24"/>
              </w:rPr>
              <w:t>.</w:t>
            </w:r>
          </w:p>
          <w:p w14:paraId="3D812A9B" w14:textId="77777777" w:rsidR="003B4EEE" w:rsidRPr="003B4EEE" w:rsidRDefault="003B4EEE" w:rsidP="007C0F58">
            <w:pPr>
              <w:spacing w:before="120" w:after="120"/>
              <w:rPr>
                <w:rStyle w:val="cf01"/>
                <w:rFonts w:ascii="Times New Roman" w:eastAsia="Times New Roman" w:hAnsi="Times New Roman" w:cs="Times New Roman"/>
                <w:sz w:val="24"/>
                <w:szCs w:val="24"/>
              </w:rPr>
            </w:pPr>
          </w:p>
        </w:tc>
        <w:tc>
          <w:tcPr>
            <w:tcW w:w="5494" w:type="dxa"/>
          </w:tcPr>
          <w:p w14:paraId="1F4C5D7E" w14:textId="4B14C15A" w:rsidR="003B4EEE" w:rsidRPr="003B4EEE" w:rsidRDefault="00077727" w:rsidP="007C0F58">
            <w:pPr>
              <w:spacing w:before="120" w:after="120"/>
              <w:rPr>
                <w:rFonts w:ascii="Times New Roman" w:hAnsi="Times New Roman" w:cs="Times New Roman"/>
                <w:sz w:val="24"/>
                <w:szCs w:val="24"/>
              </w:rPr>
            </w:pPr>
            <w:r w:rsidRPr="00077727">
              <w:rPr>
                <w:rFonts w:ascii="Times New Roman" w:hAnsi="Times New Roman" w:cs="Times New Roman"/>
                <w:b/>
                <w:bCs/>
                <w:sz w:val="24"/>
                <w:szCs w:val="24"/>
              </w:rPr>
              <w:t>Arvestatud</w:t>
            </w:r>
            <w:r>
              <w:rPr>
                <w:rFonts w:ascii="Times New Roman" w:hAnsi="Times New Roman" w:cs="Times New Roman"/>
                <w:sz w:val="24"/>
                <w:szCs w:val="24"/>
              </w:rPr>
              <w:t>.</w:t>
            </w:r>
          </w:p>
        </w:tc>
      </w:tr>
      <w:tr w:rsidR="003B4EEE" w:rsidRPr="003B4EEE" w14:paraId="73C4A93F" w14:textId="77777777" w:rsidTr="00420527">
        <w:tc>
          <w:tcPr>
            <w:tcW w:w="695" w:type="dxa"/>
          </w:tcPr>
          <w:p w14:paraId="22814E37" w14:textId="1999B063" w:rsidR="003B4EEE" w:rsidRPr="003B4EEE" w:rsidRDefault="003B4EEE" w:rsidP="007C0F58">
            <w:pPr>
              <w:spacing w:before="120" w:after="120"/>
              <w:rPr>
                <w:rFonts w:ascii="Times New Roman" w:hAnsi="Times New Roman" w:cs="Times New Roman"/>
                <w:sz w:val="24"/>
                <w:szCs w:val="24"/>
              </w:rPr>
            </w:pPr>
            <w:r w:rsidRPr="003B4EEE">
              <w:rPr>
                <w:rFonts w:ascii="Times New Roman" w:hAnsi="Times New Roman" w:cs="Times New Roman"/>
                <w:sz w:val="24"/>
                <w:szCs w:val="24"/>
              </w:rPr>
              <w:t>15</w:t>
            </w:r>
          </w:p>
        </w:tc>
        <w:tc>
          <w:tcPr>
            <w:tcW w:w="883" w:type="dxa"/>
          </w:tcPr>
          <w:p w14:paraId="02B9066B" w14:textId="6E5C5F1D" w:rsidR="00077727" w:rsidRPr="00077727" w:rsidRDefault="00077727" w:rsidP="007C0F58">
            <w:pPr>
              <w:spacing w:before="120" w:after="120"/>
              <w:rPr>
                <w:rFonts w:ascii="Times New Roman" w:eastAsia="Times New Roman" w:hAnsi="Times New Roman" w:cs="Times New Roman"/>
                <w:sz w:val="24"/>
                <w:szCs w:val="24"/>
              </w:rPr>
            </w:pPr>
            <w:r w:rsidRPr="00077727">
              <w:rPr>
                <w:rFonts w:ascii="Times New Roman" w:eastAsia="Times New Roman" w:hAnsi="Times New Roman" w:cs="Times New Roman"/>
                <w:sz w:val="24"/>
                <w:szCs w:val="24"/>
              </w:rPr>
              <w:t>RM</w:t>
            </w:r>
          </w:p>
        </w:tc>
        <w:tc>
          <w:tcPr>
            <w:tcW w:w="6922" w:type="dxa"/>
          </w:tcPr>
          <w:p w14:paraId="514AFAC2" w14:textId="68566AA8" w:rsidR="003B4EEE" w:rsidRPr="00077727" w:rsidRDefault="003B4EEE" w:rsidP="00077727">
            <w:pPr>
              <w:spacing w:before="120" w:after="120"/>
              <w:rPr>
                <w:rFonts w:ascii="Times New Roman" w:eastAsia="Times New Roman" w:hAnsi="Times New Roman" w:cs="Times New Roman"/>
                <w:sz w:val="24"/>
                <w:szCs w:val="24"/>
              </w:rPr>
            </w:pPr>
            <w:r w:rsidRPr="003B4EEE">
              <w:rPr>
                <w:rFonts w:ascii="Times New Roman" w:eastAsia="Times New Roman" w:hAnsi="Times New Roman" w:cs="Times New Roman"/>
                <w:sz w:val="24"/>
                <w:szCs w:val="24"/>
                <w:u w:val="single"/>
              </w:rPr>
              <w:t>Seletuskirjas (Riigiabi analüüsis, lk 21)</w:t>
            </w:r>
            <w:r w:rsidRPr="003B4EEE">
              <w:rPr>
                <w:rFonts w:ascii="Times New Roman" w:eastAsia="Times New Roman" w:hAnsi="Times New Roman" w:cs="Times New Roman"/>
                <w:sz w:val="24"/>
                <w:szCs w:val="24"/>
              </w:rPr>
              <w:t xml:space="preserve"> on kirjas „Kui tegemist on riigiabiga, peab toetusel olema ergutav mõju, mis tähendab, et tegevused ei ole abikõlblikud enne käskkirja kehtestamise kuupäeva.“ Rahandusministeerium on nõus, et enne käskkirja kehtestamise kuupäeva tehtud tegevused ei ole riigiabi andmiseks abikõlblikud, kuid juhime tähelepanu, et vastavalt komisjoni üldise grupierandi määruse ((EL) nr 651/2014) artikkel 6 lõikele 2 on ergutava mõju nõude täitmiseks vajalik ka, et </w:t>
            </w:r>
            <w:r w:rsidRPr="003B4EEE">
              <w:rPr>
                <w:rFonts w:ascii="Times New Roman" w:eastAsia="Times New Roman" w:hAnsi="Times New Roman" w:cs="Times New Roman"/>
                <w:sz w:val="24"/>
                <w:szCs w:val="24"/>
                <w:u w:val="single"/>
              </w:rPr>
              <w:t>abisaaja</w:t>
            </w:r>
            <w:r w:rsidRPr="003B4EEE">
              <w:rPr>
                <w:rFonts w:ascii="Times New Roman" w:eastAsia="Times New Roman" w:hAnsi="Times New Roman" w:cs="Times New Roman"/>
                <w:sz w:val="24"/>
                <w:szCs w:val="24"/>
              </w:rPr>
              <w:t xml:space="preserve"> esitaks enne tegevustega alustamist abi andjale vastava taotluse.</w:t>
            </w:r>
          </w:p>
        </w:tc>
        <w:tc>
          <w:tcPr>
            <w:tcW w:w="5494" w:type="dxa"/>
          </w:tcPr>
          <w:p w14:paraId="510FFA5A" w14:textId="14E43CE0" w:rsidR="007C0F58" w:rsidRPr="00077727" w:rsidRDefault="00077727" w:rsidP="007C0F58">
            <w:pPr>
              <w:spacing w:before="120" w:after="120"/>
              <w:rPr>
                <w:rFonts w:ascii="Times New Roman" w:hAnsi="Times New Roman" w:cs="Times New Roman"/>
                <w:sz w:val="24"/>
                <w:szCs w:val="24"/>
              </w:rPr>
            </w:pPr>
            <w:r w:rsidRPr="00077727">
              <w:rPr>
                <w:rFonts w:ascii="Times New Roman" w:hAnsi="Times New Roman" w:cs="Times New Roman"/>
                <w:b/>
                <w:bCs/>
                <w:sz w:val="24"/>
                <w:szCs w:val="24"/>
              </w:rPr>
              <w:t>Arvestatud</w:t>
            </w:r>
            <w:r>
              <w:rPr>
                <w:rFonts w:ascii="Times New Roman" w:hAnsi="Times New Roman" w:cs="Times New Roman"/>
                <w:sz w:val="24"/>
                <w:szCs w:val="24"/>
              </w:rPr>
              <w:t>.</w:t>
            </w:r>
          </w:p>
          <w:p w14:paraId="4482B4E0" w14:textId="5A24EC9B" w:rsidR="003B4EEE" w:rsidRPr="003B4EEE" w:rsidRDefault="00077727" w:rsidP="007C0F58">
            <w:pPr>
              <w:spacing w:before="120" w:after="120"/>
              <w:rPr>
                <w:rFonts w:ascii="Times New Roman" w:hAnsi="Times New Roman" w:cs="Times New Roman"/>
                <w:sz w:val="24"/>
                <w:szCs w:val="24"/>
              </w:rPr>
            </w:pPr>
            <w:r>
              <w:rPr>
                <w:rFonts w:ascii="Times New Roman" w:hAnsi="Times New Roman" w:cs="Times New Roman"/>
                <w:sz w:val="24"/>
                <w:szCs w:val="24"/>
              </w:rPr>
              <w:t>S</w:t>
            </w:r>
            <w:r w:rsidR="007C0F58" w:rsidRPr="00077727">
              <w:rPr>
                <w:rFonts w:ascii="Times New Roman" w:hAnsi="Times New Roman" w:cs="Times New Roman"/>
                <w:sz w:val="24"/>
                <w:szCs w:val="24"/>
              </w:rPr>
              <w:t>eletuskir</w:t>
            </w:r>
            <w:r>
              <w:rPr>
                <w:rFonts w:ascii="Times New Roman" w:hAnsi="Times New Roman" w:cs="Times New Roman"/>
                <w:sz w:val="24"/>
                <w:szCs w:val="24"/>
              </w:rPr>
              <w:t>i täpsustatud</w:t>
            </w:r>
            <w:r w:rsidR="007C0F58" w:rsidRPr="00077727">
              <w:rPr>
                <w:rFonts w:ascii="Times New Roman" w:hAnsi="Times New Roman" w:cs="Times New Roman"/>
                <w:sz w:val="24"/>
                <w:szCs w:val="24"/>
              </w:rPr>
              <w:t>.</w:t>
            </w:r>
          </w:p>
        </w:tc>
      </w:tr>
    </w:tbl>
    <w:p w14:paraId="5A9DC1A2" w14:textId="77777777" w:rsidR="00113F15" w:rsidRPr="003B4EEE" w:rsidRDefault="00113F15">
      <w:pPr>
        <w:rPr>
          <w:rFonts w:ascii="Times New Roman" w:hAnsi="Times New Roman" w:cs="Times New Roman"/>
          <w:sz w:val="24"/>
          <w:szCs w:val="24"/>
        </w:rPr>
      </w:pPr>
    </w:p>
    <w:sectPr w:rsidR="00113F15" w:rsidRPr="003B4EEE" w:rsidSect="009B6DC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07B0A"/>
    <w:multiLevelType w:val="multilevel"/>
    <w:tmpl w:val="10A4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B706CF"/>
    <w:multiLevelType w:val="hybridMultilevel"/>
    <w:tmpl w:val="B5F2A4B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15220990">
    <w:abstractNumId w:val="0"/>
  </w:num>
  <w:num w:numId="2" w16cid:durableId="205253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CF"/>
    <w:rsid w:val="0002185C"/>
    <w:rsid w:val="00077727"/>
    <w:rsid w:val="000B1E25"/>
    <w:rsid w:val="00105427"/>
    <w:rsid w:val="00113F15"/>
    <w:rsid w:val="00141537"/>
    <w:rsid w:val="001917E8"/>
    <w:rsid w:val="001B2CE3"/>
    <w:rsid w:val="002331CC"/>
    <w:rsid w:val="002653F4"/>
    <w:rsid w:val="002F7EC4"/>
    <w:rsid w:val="003A5583"/>
    <w:rsid w:val="003B3F2F"/>
    <w:rsid w:val="003B4EEE"/>
    <w:rsid w:val="00420527"/>
    <w:rsid w:val="00426741"/>
    <w:rsid w:val="004449EB"/>
    <w:rsid w:val="00461D7E"/>
    <w:rsid w:val="00481383"/>
    <w:rsid w:val="004A18E4"/>
    <w:rsid w:val="004C535A"/>
    <w:rsid w:val="004F01B3"/>
    <w:rsid w:val="005011D1"/>
    <w:rsid w:val="006345EB"/>
    <w:rsid w:val="006A7379"/>
    <w:rsid w:val="006D6212"/>
    <w:rsid w:val="006E66D9"/>
    <w:rsid w:val="00704C5F"/>
    <w:rsid w:val="007639BD"/>
    <w:rsid w:val="00772B72"/>
    <w:rsid w:val="00783A77"/>
    <w:rsid w:val="007921AB"/>
    <w:rsid w:val="007C0F58"/>
    <w:rsid w:val="007D12E9"/>
    <w:rsid w:val="007F1E31"/>
    <w:rsid w:val="008023EC"/>
    <w:rsid w:val="0086240D"/>
    <w:rsid w:val="008919F6"/>
    <w:rsid w:val="008B75DC"/>
    <w:rsid w:val="008C56EB"/>
    <w:rsid w:val="008E7408"/>
    <w:rsid w:val="00924D07"/>
    <w:rsid w:val="00986435"/>
    <w:rsid w:val="009B6DCF"/>
    <w:rsid w:val="00AD7CBF"/>
    <w:rsid w:val="00B1572E"/>
    <w:rsid w:val="00BA2EAD"/>
    <w:rsid w:val="00D01B86"/>
    <w:rsid w:val="00D110E1"/>
    <w:rsid w:val="00D26D61"/>
    <w:rsid w:val="00D71757"/>
    <w:rsid w:val="00D76BCB"/>
    <w:rsid w:val="00E4243E"/>
    <w:rsid w:val="00E71093"/>
    <w:rsid w:val="00E83924"/>
    <w:rsid w:val="00FA7A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BFD2"/>
  <w15:chartTrackingRefBased/>
  <w15:docId w15:val="{8DB9C108-89A5-4308-9377-ACD515AE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6DCF"/>
    <w:pPr>
      <w:spacing w:after="0" w:line="240" w:lineRule="auto"/>
    </w:pPr>
    <w:rPr>
      <w:rFonts w:ascii="Aptos" w:hAnsi="Aptos" w:cs="Calibri"/>
      <w:kern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B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allaad"/>
    <w:rsid w:val="004F01B3"/>
    <w:pPr>
      <w:spacing w:before="100" w:beforeAutospacing="1" w:after="100" w:afterAutospacing="1"/>
    </w:pPr>
    <w:rPr>
      <w:rFonts w:ascii="Times New Roman" w:eastAsia="Times New Roman" w:hAnsi="Times New Roman" w:cs="Times New Roman"/>
      <w:sz w:val="24"/>
      <w:szCs w:val="24"/>
      <w:lang w:eastAsia="et-EE"/>
      <w14:ligatures w14:val="none"/>
    </w:rPr>
  </w:style>
  <w:style w:type="character" w:customStyle="1" w:styleId="cf01">
    <w:name w:val="cf01"/>
    <w:basedOn w:val="Liguvaikefont"/>
    <w:rsid w:val="004F01B3"/>
    <w:rPr>
      <w:rFonts w:ascii="Segoe UI" w:hAnsi="Segoe UI" w:cs="Segoe UI" w:hint="default"/>
      <w:sz w:val="18"/>
      <w:szCs w:val="18"/>
    </w:rPr>
  </w:style>
  <w:style w:type="paragraph" w:styleId="Normaallaadveeb">
    <w:name w:val="Normal (Web)"/>
    <w:basedOn w:val="Normaallaad"/>
    <w:uiPriority w:val="99"/>
    <w:unhideWhenUsed/>
    <w:rsid w:val="004F01B3"/>
    <w:pPr>
      <w:spacing w:before="100" w:beforeAutospacing="1" w:after="100" w:afterAutospacing="1"/>
    </w:pPr>
    <w:rPr>
      <w:rFonts w:ascii="Times New Roman" w:eastAsia="Times New Roman" w:hAnsi="Times New Roman" w:cs="Times New Roman"/>
      <w:sz w:val="24"/>
      <w:szCs w:val="24"/>
      <w:lang w:eastAsia="et-EE"/>
      <w14:ligatures w14:val="none"/>
    </w:rPr>
  </w:style>
  <w:style w:type="paragraph" w:customStyle="1" w:styleId="pf1">
    <w:name w:val="pf1"/>
    <w:basedOn w:val="Normaallaad"/>
    <w:rsid w:val="000B1E25"/>
    <w:pPr>
      <w:spacing w:before="100" w:beforeAutospacing="1" w:after="100" w:afterAutospacing="1"/>
    </w:pPr>
    <w:rPr>
      <w:rFonts w:ascii="Times New Roman" w:eastAsia="Times New Roman" w:hAnsi="Times New Roman" w:cs="Times New Roman"/>
      <w:sz w:val="24"/>
      <w:szCs w:val="24"/>
      <w:lang w:eastAsia="et-EE"/>
      <w14:ligatures w14:val="none"/>
    </w:rPr>
  </w:style>
  <w:style w:type="paragraph" w:styleId="Loendilik">
    <w:name w:val="List Paragraph"/>
    <w:basedOn w:val="Normaallaad"/>
    <w:uiPriority w:val="34"/>
    <w:qFormat/>
    <w:rsid w:val="003B4EEE"/>
    <w:pPr>
      <w:ind w:left="720"/>
    </w:pPr>
  </w:style>
  <w:style w:type="paragraph" w:styleId="Redaktsioon">
    <w:name w:val="Revision"/>
    <w:hidden/>
    <w:uiPriority w:val="99"/>
    <w:semiHidden/>
    <w:rsid w:val="007639BD"/>
    <w:pPr>
      <w:spacing w:after="0" w:line="240" w:lineRule="auto"/>
    </w:pPr>
    <w:rPr>
      <w:rFonts w:ascii="Aptos" w:hAnsi="Aptos"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901">
      <w:bodyDiv w:val="1"/>
      <w:marLeft w:val="0"/>
      <w:marRight w:val="0"/>
      <w:marTop w:val="0"/>
      <w:marBottom w:val="0"/>
      <w:divBdr>
        <w:top w:val="none" w:sz="0" w:space="0" w:color="auto"/>
        <w:left w:val="none" w:sz="0" w:space="0" w:color="auto"/>
        <w:bottom w:val="none" w:sz="0" w:space="0" w:color="auto"/>
        <w:right w:val="none" w:sz="0" w:space="0" w:color="auto"/>
      </w:divBdr>
    </w:div>
    <w:div w:id="319699390">
      <w:bodyDiv w:val="1"/>
      <w:marLeft w:val="0"/>
      <w:marRight w:val="0"/>
      <w:marTop w:val="0"/>
      <w:marBottom w:val="0"/>
      <w:divBdr>
        <w:top w:val="none" w:sz="0" w:space="0" w:color="auto"/>
        <w:left w:val="none" w:sz="0" w:space="0" w:color="auto"/>
        <w:bottom w:val="none" w:sz="0" w:space="0" w:color="auto"/>
        <w:right w:val="none" w:sz="0" w:space="0" w:color="auto"/>
      </w:divBdr>
    </w:div>
    <w:div w:id="335763910">
      <w:bodyDiv w:val="1"/>
      <w:marLeft w:val="0"/>
      <w:marRight w:val="0"/>
      <w:marTop w:val="0"/>
      <w:marBottom w:val="0"/>
      <w:divBdr>
        <w:top w:val="none" w:sz="0" w:space="0" w:color="auto"/>
        <w:left w:val="none" w:sz="0" w:space="0" w:color="auto"/>
        <w:bottom w:val="none" w:sz="0" w:space="0" w:color="auto"/>
        <w:right w:val="none" w:sz="0" w:space="0" w:color="auto"/>
      </w:divBdr>
    </w:div>
    <w:div w:id="388188367">
      <w:bodyDiv w:val="1"/>
      <w:marLeft w:val="0"/>
      <w:marRight w:val="0"/>
      <w:marTop w:val="0"/>
      <w:marBottom w:val="0"/>
      <w:divBdr>
        <w:top w:val="none" w:sz="0" w:space="0" w:color="auto"/>
        <w:left w:val="none" w:sz="0" w:space="0" w:color="auto"/>
        <w:bottom w:val="none" w:sz="0" w:space="0" w:color="auto"/>
        <w:right w:val="none" w:sz="0" w:space="0" w:color="auto"/>
      </w:divBdr>
    </w:div>
    <w:div w:id="446896947">
      <w:bodyDiv w:val="1"/>
      <w:marLeft w:val="0"/>
      <w:marRight w:val="0"/>
      <w:marTop w:val="0"/>
      <w:marBottom w:val="0"/>
      <w:divBdr>
        <w:top w:val="none" w:sz="0" w:space="0" w:color="auto"/>
        <w:left w:val="none" w:sz="0" w:space="0" w:color="auto"/>
        <w:bottom w:val="none" w:sz="0" w:space="0" w:color="auto"/>
        <w:right w:val="none" w:sz="0" w:space="0" w:color="auto"/>
      </w:divBdr>
    </w:div>
    <w:div w:id="926810693">
      <w:bodyDiv w:val="1"/>
      <w:marLeft w:val="0"/>
      <w:marRight w:val="0"/>
      <w:marTop w:val="0"/>
      <w:marBottom w:val="0"/>
      <w:divBdr>
        <w:top w:val="none" w:sz="0" w:space="0" w:color="auto"/>
        <w:left w:val="none" w:sz="0" w:space="0" w:color="auto"/>
        <w:bottom w:val="none" w:sz="0" w:space="0" w:color="auto"/>
        <w:right w:val="none" w:sz="0" w:space="0" w:color="auto"/>
      </w:divBdr>
    </w:div>
    <w:div w:id="1023896493">
      <w:bodyDiv w:val="1"/>
      <w:marLeft w:val="0"/>
      <w:marRight w:val="0"/>
      <w:marTop w:val="0"/>
      <w:marBottom w:val="0"/>
      <w:divBdr>
        <w:top w:val="none" w:sz="0" w:space="0" w:color="auto"/>
        <w:left w:val="none" w:sz="0" w:space="0" w:color="auto"/>
        <w:bottom w:val="none" w:sz="0" w:space="0" w:color="auto"/>
        <w:right w:val="none" w:sz="0" w:space="0" w:color="auto"/>
      </w:divBdr>
    </w:div>
    <w:div w:id="1063406743">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86935472">
      <w:bodyDiv w:val="1"/>
      <w:marLeft w:val="0"/>
      <w:marRight w:val="0"/>
      <w:marTop w:val="0"/>
      <w:marBottom w:val="0"/>
      <w:divBdr>
        <w:top w:val="none" w:sz="0" w:space="0" w:color="auto"/>
        <w:left w:val="none" w:sz="0" w:space="0" w:color="auto"/>
        <w:bottom w:val="none" w:sz="0" w:space="0" w:color="auto"/>
        <w:right w:val="none" w:sz="0" w:space="0" w:color="auto"/>
      </w:divBdr>
    </w:div>
    <w:div w:id="1566841810">
      <w:bodyDiv w:val="1"/>
      <w:marLeft w:val="0"/>
      <w:marRight w:val="0"/>
      <w:marTop w:val="0"/>
      <w:marBottom w:val="0"/>
      <w:divBdr>
        <w:top w:val="none" w:sz="0" w:space="0" w:color="auto"/>
        <w:left w:val="none" w:sz="0" w:space="0" w:color="auto"/>
        <w:bottom w:val="none" w:sz="0" w:space="0" w:color="auto"/>
        <w:right w:val="none" w:sz="0" w:space="0" w:color="auto"/>
      </w:divBdr>
    </w:div>
    <w:div w:id="1714110648">
      <w:bodyDiv w:val="1"/>
      <w:marLeft w:val="0"/>
      <w:marRight w:val="0"/>
      <w:marTop w:val="0"/>
      <w:marBottom w:val="0"/>
      <w:divBdr>
        <w:top w:val="none" w:sz="0" w:space="0" w:color="auto"/>
        <w:left w:val="none" w:sz="0" w:space="0" w:color="auto"/>
        <w:bottom w:val="none" w:sz="0" w:space="0" w:color="auto"/>
        <w:right w:val="none" w:sz="0" w:space="0" w:color="auto"/>
      </w:divBdr>
    </w:div>
    <w:div w:id="19747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D3A364-2EE5-4B24-9ACD-399C8B71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4809B-D23C-48E8-9AC9-FB9D466CF54A}">
  <ds:schemaRefs>
    <ds:schemaRef ds:uri="http://schemas.microsoft.com/sharepoint/v3/contenttype/forms"/>
  </ds:schemaRefs>
</ds:datastoreItem>
</file>

<file path=customXml/itemProps3.xml><?xml version="1.0" encoding="utf-8"?>
<ds:datastoreItem xmlns:ds="http://schemas.openxmlformats.org/officeDocument/2006/customXml" ds:itemID="{CC9FB306-634F-4F19-9521-C097C661CC0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6032</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Kristel Reim</dc:creator>
  <dc:description/>
  <cp:lastModifiedBy>Kristel Reim</cp:lastModifiedBy>
  <cp:revision>3</cp:revision>
  <dcterms:created xsi:type="dcterms:W3CDTF">2024-05-27T10:55:00Z</dcterms:created>
  <dcterms:modified xsi:type="dcterms:W3CDTF">2024-05-27T10:56:00Z</dcterms:modified>
  <dc:title>TemTA seletuskirja_lisa 4 (täiendav kooskõlastustabel)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